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ECC6" w14:textId="71A8B1B6" w:rsidR="00C8649B" w:rsidRPr="00C8649B" w:rsidRDefault="00E02E75" w:rsidP="00C8649B">
      <w:pPr>
        <w:pStyle w:val="a4"/>
      </w:pPr>
      <w:r>
        <w:rPr>
          <w:rFonts w:hint="eastAsia"/>
        </w:rPr>
        <w:t>《</w:t>
      </w:r>
      <w:r w:rsidR="00C8649B" w:rsidRPr="00C8649B">
        <w:rPr>
          <w:rFonts w:hint="eastAsia"/>
        </w:rPr>
        <w:t>杭州医学院“回家啦”应用、房改相关填报应用项目招标需求</w:t>
      </w:r>
      <w:r>
        <w:rPr>
          <w:rFonts w:hint="eastAsia"/>
        </w:rPr>
        <w:t>》</w:t>
      </w:r>
    </w:p>
    <w:p w14:paraId="002E769D" w14:textId="77777777" w:rsidR="00B95136" w:rsidRPr="007C3A98" w:rsidRDefault="00B95136" w:rsidP="00C8649B">
      <w:pPr>
        <w:pStyle w:val="1"/>
        <w:rPr>
          <w:sz w:val="30"/>
          <w:szCs w:val="30"/>
        </w:rPr>
      </w:pPr>
      <w:r w:rsidRPr="007C3A98">
        <w:rPr>
          <w:rFonts w:hint="eastAsia"/>
          <w:sz w:val="30"/>
          <w:szCs w:val="30"/>
        </w:rPr>
        <w:t>住房公积金补贴测算应用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24"/>
        <w:gridCol w:w="5672"/>
      </w:tblGrid>
      <w:tr w:rsidR="00B95136" w:rsidRPr="004829C7" w14:paraId="270DC57E" w14:textId="77777777" w:rsidTr="00403A07">
        <w:trPr>
          <w:trHeight w:val="285"/>
        </w:trPr>
        <w:tc>
          <w:tcPr>
            <w:tcW w:w="835" w:type="pct"/>
            <w:vAlign w:val="center"/>
          </w:tcPr>
          <w:p w14:paraId="11891B83"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序号</w:t>
            </w:r>
          </w:p>
        </w:tc>
        <w:tc>
          <w:tcPr>
            <w:tcW w:w="836" w:type="pct"/>
            <w:vAlign w:val="center"/>
          </w:tcPr>
          <w:p w14:paraId="53F12617"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功能模块</w:t>
            </w:r>
          </w:p>
        </w:tc>
        <w:tc>
          <w:tcPr>
            <w:tcW w:w="3328" w:type="pct"/>
            <w:vAlign w:val="center"/>
          </w:tcPr>
          <w:p w14:paraId="654F1CB9"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功能要求</w:t>
            </w:r>
          </w:p>
        </w:tc>
      </w:tr>
      <w:tr w:rsidR="00B95136" w:rsidRPr="004829C7" w14:paraId="4BF3753A" w14:textId="77777777" w:rsidTr="00403A07">
        <w:trPr>
          <w:trHeight w:val="3420"/>
        </w:trPr>
        <w:tc>
          <w:tcPr>
            <w:tcW w:w="835" w:type="pct"/>
            <w:vAlign w:val="center"/>
          </w:tcPr>
          <w:p w14:paraId="565E35E8"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1</w:t>
            </w:r>
          </w:p>
        </w:tc>
        <w:tc>
          <w:tcPr>
            <w:tcW w:w="836" w:type="pct"/>
            <w:vAlign w:val="center"/>
          </w:tcPr>
          <w:p w14:paraId="7746FBE4"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教师信息管理</w:t>
            </w:r>
          </w:p>
        </w:tc>
        <w:tc>
          <w:tcPr>
            <w:tcW w:w="3328" w:type="pct"/>
            <w:vAlign w:val="center"/>
          </w:tcPr>
          <w:p w14:paraId="793A4845"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1.定期同步人事系统数据，对人事系统数据进行处理，将分段式数据进行拼凑，支持查看教师个人基础信息姓名、教职工工号、身份证号、职称、当月职称调整时间、职务、当月职务调整时间、入校时间、是否属于人才引进、离职时间、退休时间、第一次参加工作时间以及职级/职务变动情况，支持数据导出；</w:t>
            </w:r>
            <w:r w:rsidRPr="004829C7">
              <w:rPr>
                <w:rFonts w:asciiTheme="minorEastAsia" w:eastAsiaTheme="minorEastAsia" w:hAnsiTheme="minorEastAsia" w:cs="DengXian" w:hint="eastAsia"/>
                <w:color w:val="000000"/>
                <w:kern w:val="0"/>
                <w:sz w:val="22"/>
                <w:szCs w:val="22"/>
                <w:lang w:bidi="ar"/>
              </w:rPr>
              <w:br/>
              <w:t>2.支持管理员下发待办通知，对应教师可在任务中心进行申报；</w:t>
            </w:r>
            <w:r w:rsidRPr="004829C7">
              <w:rPr>
                <w:rFonts w:asciiTheme="minorEastAsia" w:eastAsiaTheme="minorEastAsia" w:hAnsiTheme="minorEastAsia" w:cs="DengXian" w:hint="eastAsia"/>
                <w:color w:val="000000"/>
                <w:kern w:val="0"/>
                <w:sz w:val="22"/>
                <w:szCs w:val="22"/>
                <w:lang w:bidi="ar"/>
              </w:rPr>
              <w:br/>
              <w:t>3.支持管理员设置教师是否为发放对象，默认数据为是，支持管理员手动修改。</w:t>
            </w:r>
          </w:p>
        </w:tc>
      </w:tr>
      <w:tr w:rsidR="00B95136" w:rsidRPr="004829C7" w14:paraId="288F8DCA" w14:textId="77777777" w:rsidTr="00403A07">
        <w:trPr>
          <w:trHeight w:val="1140"/>
        </w:trPr>
        <w:tc>
          <w:tcPr>
            <w:tcW w:w="835" w:type="pct"/>
            <w:vAlign w:val="center"/>
          </w:tcPr>
          <w:p w14:paraId="55E51D24"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2</w:t>
            </w:r>
          </w:p>
        </w:tc>
        <w:tc>
          <w:tcPr>
            <w:tcW w:w="836" w:type="pct"/>
            <w:vAlign w:val="center"/>
          </w:tcPr>
          <w:p w14:paraId="519BDD92"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个人申请填写</w:t>
            </w:r>
          </w:p>
        </w:tc>
        <w:tc>
          <w:tcPr>
            <w:tcW w:w="3328" w:type="pct"/>
            <w:vAlign w:val="center"/>
          </w:tcPr>
          <w:p w14:paraId="63900EAA"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1.针对收到后勤待办的可申请补贴的教师，支持进行补贴申请；支持相关审批人员在线审批并对申请表进行内容填写补充；</w:t>
            </w:r>
            <w:r w:rsidRPr="004829C7">
              <w:rPr>
                <w:rFonts w:asciiTheme="minorEastAsia" w:eastAsiaTheme="minorEastAsia" w:hAnsiTheme="minorEastAsia" w:cs="DengXian" w:hint="eastAsia"/>
                <w:color w:val="000000"/>
                <w:kern w:val="0"/>
                <w:sz w:val="22"/>
                <w:szCs w:val="22"/>
                <w:lang w:bidi="ar"/>
              </w:rPr>
              <w:br/>
              <w:t>2.支持根据审批信息导出特定附件。</w:t>
            </w:r>
          </w:p>
        </w:tc>
      </w:tr>
      <w:tr w:rsidR="00B95136" w:rsidRPr="004829C7" w14:paraId="49FC6AD5" w14:textId="77777777" w:rsidTr="00403A07">
        <w:trPr>
          <w:trHeight w:val="1710"/>
        </w:trPr>
        <w:tc>
          <w:tcPr>
            <w:tcW w:w="835" w:type="pct"/>
            <w:vAlign w:val="center"/>
          </w:tcPr>
          <w:p w14:paraId="263F45CB"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3</w:t>
            </w:r>
          </w:p>
        </w:tc>
        <w:tc>
          <w:tcPr>
            <w:tcW w:w="836" w:type="pct"/>
            <w:vAlign w:val="center"/>
          </w:tcPr>
          <w:p w14:paraId="64653431"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补缴管理</w:t>
            </w:r>
          </w:p>
        </w:tc>
        <w:tc>
          <w:tcPr>
            <w:tcW w:w="3328" w:type="pct"/>
            <w:vAlign w:val="center"/>
          </w:tcPr>
          <w:p w14:paraId="19902587"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1.针对申请补贴通过教师信息进行查看，包含：姓名、身份证号、现职称或职务、聘任起始时间、是否人才引进、备注、现月缴额、调整后月缴额；</w:t>
            </w:r>
            <w:r w:rsidRPr="004829C7">
              <w:rPr>
                <w:rFonts w:asciiTheme="minorEastAsia" w:eastAsiaTheme="minorEastAsia" w:hAnsiTheme="minorEastAsia" w:cs="DengXian" w:hint="eastAsia"/>
                <w:color w:val="000000"/>
                <w:kern w:val="0"/>
                <w:sz w:val="22"/>
                <w:szCs w:val="22"/>
                <w:lang w:bidi="ar"/>
              </w:rPr>
              <w:br/>
              <w:t>2.支持设置补缴时间，根据补缴时间自动计算需补缴额并汇总到发放情况中。</w:t>
            </w:r>
          </w:p>
        </w:tc>
      </w:tr>
      <w:tr w:rsidR="00B95136" w:rsidRPr="004829C7" w14:paraId="25CBD600" w14:textId="77777777" w:rsidTr="00403A07">
        <w:trPr>
          <w:trHeight w:val="570"/>
        </w:trPr>
        <w:tc>
          <w:tcPr>
            <w:tcW w:w="835" w:type="pct"/>
            <w:vAlign w:val="center"/>
          </w:tcPr>
          <w:p w14:paraId="739B4F75"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4</w:t>
            </w:r>
          </w:p>
        </w:tc>
        <w:tc>
          <w:tcPr>
            <w:tcW w:w="836" w:type="pct"/>
            <w:vAlign w:val="center"/>
          </w:tcPr>
          <w:p w14:paraId="284432CB"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补贴标准管理</w:t>
            </w:r>
          </w:p>
        </w:tc>
        <w:tc>
          <w:tcPr>
            <w:tcW w:w="3328" w:type="pct"/>
            <w:vAlign w:val="center"/>
          </w:tcPr>
          <w:p w14:paraId="5B5D4FD0"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支持设置不同职称、职级，在不同时间段内的补贴标准，支持数据导出。</w:t>
            </w:r>
          </w:p>
        </w:tc>
      </w:tr>
      <w:tr w:rsidR="00B95136" w:rsidRPr="004829C7" w14:paraId="15639A8B" w14:textId="77777777" w:rsidTr="00403A07">
        <w:trPr>
          <w:trHeight w:val="1995"/>
        </w:trPr>
        <w:tc>
          <w:tcPr>
            <w:tcW w:w="835" w:type="pct"/>
            <w:vAlign w:val="center"/>
          </w:tcPr>
          <w:p w14:paraId="17DD8602"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5</w:t>
            </w:r>
          </w:p>
        </w:tc>
        <w:tc>
          <w:tcPr>
            <w:tcW w:w="836" w:type="pct"/>
            <w:vAlign w:val="center"/>
          </w:tcPr>
          <w:p w14:paraId="286AC38F"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报表管理</w:t>
            </w:r>
          </w:p>
        </w:tc>
        <w:tc>
          <w:tcPr>
            <w:tcW w:w="3328" w:type="pct"/>
            <w:vAlign w:val="center"/>
          </w:tcPr>
          <w:p w14:paraId="22DD0DB5" w14:textId="77777777" w:rsidR="00B95136" w:rsidRPr="004829C7" w:rsidRDefault="00B95136" w:rsidP="00403A07">
            <w:pPr>
              <w:widowControl/>
              <w:jc w:val="left"/>
              <w:textAlignment w:val="center"/>
              <w:rPr>
                <w:rFonts w:asciiTheme="minorEastAsia" w:eastAsiaTheme="minorEastAsia" w:hAnsiTheme="minorEastAsia" w:cs="DengXian"/>
                <w:color w:val="000000"/>
                <w:sz w:val="22"/>
                <w:szCs w:val="22"/>
              </w:rPr>
            </w:pPr>
            <w:r w:rsidRPr="004829C7">
              <w:rPr>
                <w:rFonts w:asciiTheme="minorEastAsia" w:eastAsiaTheme="minorEastAsia" w:hAnsiTheme="minorEastAsia" w:cs="DengXian" w:hint="eastAsia"/>
                <w:color w:val="000000"/>
                <w:kern w:val="0"/>
                <w:sz w:val="22"/>
                <w:szCs w:val="22"/>
                <w:lang w:bidi="ar"/>
              </w:rPr>
              <w:t>1.根据人事系统数据同步教师职称、职级，自动计算月度补贴，支持数据导出；</w:t>
            </w:r>
            <w:r w:rsidRPr="004829C7">
              <w:rPr>
                <w:rFonts w:asciiTheme="minorEastAsia" w:eastAsiaTheme="minorEastAsia" w:hAnsiTheme="minorEastAsia" w:cs="DengXian" w:hint="eastAsia"/>
                <w:color w:val="000000"/>
                <w:kern w:val="0"/>
                <w:sz w:val="22"/>
                <w:szCs w:val="22"/>
                <w:lang w:bidi="ar"/>
              </w:rPr>
              <w:br/>
              <w:t>2.根据人事系统数据同步教师职称、职级变动情况以及教师入校时间计算在校总计补贴；</w:t>
            </w:r>
            <w:r w:rsidRPr="004829C7">
              <w:rPr>
                <w:rFonts w:asciiTheme="minorEastAsia" w:eastAsiaTheme="minorEastAsia" w:hAnsiTheme="minorEastAsia" w:cs="DengXian" w:hint="eastAsia"/>
                <w:color w:val="000000"/>
                <w:kern w:val="0"/>
                <w:sz w:val="22"/>
                <w:szCs w:val="22"/>
                <w:lang w:bidi="ar"/>
              </w:rPr>
              <w:br/>
              <w:t>3.用于存放线下一次性补贴发放情况历史数据，支持数据导入、导出、修改。</w:t>
            </w:r>
          </w:p>
        </w:tc>
      </w:tr>
    </w:tbl>
    <w:p w14:paraId="292C8C68" w14:textId="77777777" w:rsidR="00B95136" w:rsidRPr="004829C7" w:rsidRDefault="00B95136" w:rsidP="00B95136">
      <w:pPr>
        <w:rPr>
          <w:rFonts w:asciiTheme="minorEastAsia" w:eastAsiaTheme="minorEastAsia" w:hAnsiTheme="minorEastAsia"/>
        </w:rPr>
      </w:pPr>
      <w:r w:rsidRPr="004829C7">
        <w:rPr>
          <w:rFonts w:asciiTheme="minorEastAsia" w:eastAsiaTheme="minorEastAsia" w:hAnsiTheme="minorEastAsia"/>
        </w:rPr>
        <w:br w:type="page"/>
      </w:r>
    </w:p>
    <w:p w14:paraId="2D133751" w14:textId="77777777" w:rsidR="00B95136" w:rsidRPr="007C3A98" w:rsidRDefault="00B95136" w:rsidP="00B95136">
      <w:pPr>
        <w:pStyle w:val="1"/>
        <w:rPr>
          <w:sz w:val="30"/>
          <w:szCs w:val="30"/>
        </w:rPr>
      </w:pPr>
      <w:r w:rsidRPr="007C3A98">
        <w:rPr>
          <w:sz w:val="30"/>
          <w:szCs w:val="30"/>
        </w:rPr>
        <w:lastRenderedPageBreak/>
        <w:t>“</w:t>
      </w:r>
      <w:r w:rsidRPr="007C3A98">
        <w:rPr>
          <w:sz w:val="30"/>
          <w:szCs w:val="30"/>
        </w:rPr>
        <w:t>回家啦</w:t>
      </w:r>
      <w:r w:rsidRPr="007C3A98">
        <w:rPr>
          <w:sz w:val="30"/>
          <w:szCs w:val="30"/>
        </w:rPr>
        <w:t>”</w:t>
      </w:r>
      <w:r w:rsidRPr="007C3A98">
        <w:rPr>
          <w:sz w:val="30"/>
          <w:szCs w:val="30"/>
        </w:rPr>
        <w:t>节假日离返校统计应用</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322"/>
        <w:gridCol w:w="6833"/>
      </w:tblGrid>
      <w:tr w:rsidR="00B95136" w:rsidRPr="004829C7" w14:paraId="579E0782" w14:textId="77777777" w:rsidTr="00403A07">
        <w:trPr>
          <w:trHeight w:val="330"/>
        </w:trPr>
        <w:tc>
          <w:tcPr>
            <w:tcW w:w="1040" w:type="dxa"/>
            <w:vAlign w:val="center"/>
          </w:tcPr>
          <w:p w14:paraId="553DE77B"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序号</w:t>
            </w:r>
          </w:p>
        </w:tc>
        <w:tc>
          <w:tcPr>
            <w:tcW w:w="1322" w:type="dxa"/>
            <w:vAlign w:val="center"/>
          </w:tcPr>
          <w:p w14:paraId="42E63758"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功能模块</w:t>
            </w:r>
          </w:p>
        </w:tc>
        <w:tc>
          <w:tcPr>
            <w:tcW w:w="6833" w:type="dxa"/>
            <w:vAlign w:val="center"/>
          </w:tcPr>
          <w:p w14:paraId="14E606C2" w14:textId="77777777" w:rsidR="00B95136" w:rsidRPr="004829C7" w:rsidRDefault="00B95136" w:rsidP="00403A07">
            <w:pPr>
              <w:widowControl/>
              <w:jc w:val="center"/>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功能概述</w:t>
            </w:r>
          </w:p>
        </w:tc>
      </w:tr>
      <w:tr w:rsidR="00B95136" w:rsidRPr="004829C7" w14:paraId="4FEB3848" w14:textId="77777777" w:rsidTr="00403A07">
        <w:trPr>
          <w:trHeight w:val="660"/>
        </w:trPr>
        <w:tc>
          <w:tcPr>
            <w:tcW w:w="0" w:type="auto"/>
            <w:noWrap/>
            <w:vAlign w:val="center"/>
          </w:tcPr>
          <w:p w14:paraId="6492E78E"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1</w:t>
            </w:r>
          </w:p>
        </w:tc>
        <w:tc>
          <w:tcPr>
            <w:tcW w:w="1322" w:type="dxa"/>
            <w:vAlign w:val="center"/>
          </w:tcPr>
          <w:p w14:paraId="72CA30EA"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首页</w:t>
            </w:r>
          </w:p>
        </w:tc>
        <w:tc>
          <w:tcPr>
            <w:tcW w:w="6833" w:type="dxa"/>
            <w:vAlign w:val="center"/>
          </w:tcPr>
          <w:p w14:paraId="51C36449"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以图表的形式展示系统业务数据，包含当前离校人数、当前在校人数、离校人数变化趋势、去向城市分布等。</w:t>
            </w:r>
          </w:p>
        </w:tc>
      </w:tr>
      <w:tr w:rsidR="00B95136" w:rsidRPr="004829C7" w14:paraId="0762317C" w14:textId="77777777" w:rsidTr="00403A07">
        <w:trPr>
          <w:trHeight w:val="2640"/>
        </w:trPr>
        <w:tc>
          <w:tcPr>
            <w:tcW w:w="0" w:type="auto"/>
            <w:noWrap/>
            <w:vAlign w:val="center"/>
          </w:tcPr>
          <w:p w14:paraId="0DDB145A"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2</w:t>
            </w:r>
          </w:p>
        </w:tc>
        <w:tc>
          <w:tcPr>
            <w:tcW w:w="1322" w:type="dxa"/>
            <w:vAlign w:val="center"/>
          </w:tcPr>
          <w:p w14:paraId="28A86D48"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登记计划配置</w:t>
            </w:r>
          </w:p>
        </w:tc>
        <w:tc>
          <w:tcPr>
            <w:tcW w:w="6833" w:type="dxa"/>
            <w:vAlign w:val="center"/>
          </w:tcPr>
          <w:p w14:paraId="6075198D"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根据学校实际假期安排登记计划，可设置计划开启时间，学生须填报内容；</w:t>
            </w:r>
            <w:r w:rsidRPr="004829C7">
              <w:rPr>
                <w:rFonts w:asciiTheme="minorEastAsia" w:eastAsiaTheme="minorEastAsia" w:hAnsiTheme="minorEastAsia" w:cs="微软雅黑" w:hint="eastAsia"/>
                <w:color w:val="000000"/>
                <w:kern w:val="0"/>
                <w:sz w:val="20"/>
                <w:lang w:bidi="ar"/>
              </w:rPr>
              <w:br/>
              <w:t>支持设置消息提醒时间，学生若未填报则生成消息通知，推送人员支持选择；</w:t>
            </w:r>
            <w:r w:rsidRPr="004829C7">
              <w:rPr>
                <w:rFonts w:asciiTheme="minorEastAsia" w:eastAsiaTheme="minorEastAsia" w:hAnsiTheme="minorEastAsia" w:cs="微软雅黑" w:hint="eastAsia"/>
                <w:color w:val="000000"/>
                <w:kern w:val="0"/>
                <w:sz w:val="20"/>
                <w:lang w:bidi="ar"/>
              </w:rPr>
              <w:br/>
              <w:t>支持设置超期时间，若超期未填报，则生成消息通知，推送人员支持选择。</w:t>
            </w:r>
            <w:r w:rsidRPr="004829C7">
              <w:rPr>
                <w:rFonts w:asciiTheme="minorEastAsia" w:eastAsiaTheme="minorEastAsia" w:hAnsiTheme="minorEastAsia" w:cs="微软雅黑" w:hint="eastAsia"/>
                <w:color w:val="000000"/>
                <w:kern w:val="0"/>
                <w:sz w:val="20"/>
                <w:lang w:bidi="ar"/>
              </w:rPr>
              <w:br/>
              <w:t>支持配置未归校预警提醒时间，若超过时间未返校或延长假期，则生成消息通知，推送人员支持选择。</w:t>
            </w:r>
          </w:p>
        </w:tc>
      </w:tr>
      <w:tr w:rsidR="00B95136" w:rsidRPr="004829C7" w14:paraId="32111255" w14:textId="77777777" w:rsidTr="00403A07">
        <w:trPr>
          <w:trHeight w:val="990"/>
        </w:trPr>
        <w:tc>
          <w:tcPr>
            <w:tcW w:w="0" w:type="auto"/>
            <w:noWrap/>
            <w:vAlign w:val="center"/>
          </w:tcPr>
          <w:p w14:paraId="5D110DCE"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3</w:t>
            </w:r>
          </w:p>
        </w:tc>
        <w:tc>
          <w:tcPr>
            <w:tcW w:w="1322" w:type="dxa"/>
            <w:vAlign w:val="center"/>
          </w:tcPr>
          <w:p w14:paraId="724B74AB"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审批流配置</w:t>
            </w:r>
          </w:p>
        </w:tc>
        <w:tc>
          <w:tcPr>
            <w:tcW w:w="6833" w:type="dxa"/>
            <w:vAlign w:val="center"/>
          </w:tcPr>
          <w:p w14:paraId="53C7C658"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根据学校实际业务配置审批流程，具体包括节点配置、各节点负责角色配置；</w:t>
            </w:r>
            <w:r w:rsidRPr="004829C7">
              <w:rPr>
                <w:rFonts w:asciiTheme="minorEastAsia" w:eastAsiaTheme="minorEastAsia" w:hAnsiTheme="minorEastAsia" w:cs="微软雅黑" w:hint="eastAsia"/>
                <w:color w:val="000000"/>
                <w:kern w:val="0"/>
                <w:sz w:val="20"/>
                <w:lang w:bidi="ar"/>
              </w:rPr>
              <w:br/>
              <w:t>单个节点允设置多人，可设置消息抄送。</w:t>
            </w:r>
          </w:p>
        </w:tc>
      </w:tr>
      <w:tr w:rsidR="00B95136" w:rsidRPr="004829C7" w14:paraId="47ACB851" w14:textId="77777777" w:rsidTr="00403A07">
        <w:trPr>
          <w:trHeight w:val="660"/>
        </w:trPr>
        <w:tc>
          <w:tcPr>
            <w:tcW w:w="0" w:type="auto"/>
            <w:noWrap/>
            <w:vAlign w:val="center"/>
          </w:tcPr>
          <w:p w14:paraId="53F92417"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4</w:t>
            </w:r>
          </w:p>
        </w:tc>
        <w:tc>
          <w:tcPr>
            <w:tcW w:w="1322" w:type="dxa"/>
            <w:vAlign w:val="center"/>
          </w:tcPr>
          <w:p w14:paraId="17EA5EB3"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学生登记审核</w:t>
            </w:r>
          </w:p>
        </w:tc>
        <w:tc>
          <w:tcPr>
            <w:tcW w:w="6833" w:type="dxa"/>
            <w:vAlign w:val="center"/>
          </w:tcPr>
          <w:p w14:paraId="153FB26D"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根据登录用户的角色显示其相应的审批信息，进行审批操作。</w:t>
            </w:r>
          </w:p>
        </w:tc>
      </w:tr>
      <w:tr w:rsidR="00B95136" w:rsidRPr="004829C7" w14:paraId="243A0A0B" w14:textId="77777777" w:rsidTr="00403A07">
        <w:trPr>
          <w:trHeight w:val="660"/>
        </w:trPr>
        <w:tc>
          <w:tcPr>
            <w:tcW w:w="0" w:type="auto"/>
            <w:noWrap/>
            <w:vAlign w:val="center"/>
          </w:tcPr>
          <w:p w14:paraId="4827E885"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5</w:t>
            </w:r>
          </w:p>
        </w:tc>
        <w:tc>
          <w:tcPr>
            <w:tcW w:w="1322" w:type="dxa"/>
            <w:vAlign w:val="center"/>
          </w:tcPr>
          <w:p w14:paraId="3E102223"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学生登记情况</w:t>
            </w:r>
          </w:p>
        </w:tc>
        <w:tc>
          <w:tcPr>
            <w:tcW w:w="6833" w:type="dxa"/>
            <w:vAlign w:val="center"/>
          </w:tcPr>
          <w:p w14:paraId="0BFA812B"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展示超期学生人员登记信息列表，支持不同维度筛选，人员名单导出。</w:t>
            </w:r>
          </w:p>
        </w:tc>
      </w:tr>
      <w:tr w:rsidR="00B95136" w:rsidRPr="004829C7" w14:paraId="70C14138" w14:textId="77777777" w:rsidTr="00403A07">
        <w:trPr>
          <w:trHeight w:val="1980"/>
        </w:trPr>
        <w:tc>
          <w:tcPr>
            <w:tcW w:w="0" w:type="auto"/>
            <w:noWrap/>
            <w:vAlign w:val="center"/>
          </w:tcPr>
          <w:p w14:paraId="619FFD0B"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6</w:t>
            </w:r>
          </w:p>
        </w:tc>
        <w:tc>
          <w:tcPr>
            <w:tcW w:w="1322" w:type="dxa"/>
            <w:vAlign w:val="center"/>
          </w:tcPr>
          <w:p w14:paraId="51BB7FEA"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学生当前在校情况</w:t>
            </w:r>
          </w:p>
        </w:tc>
        <w:tc>
          <w:tcPr>
            <w:tcW w:w="6833" w:type="dxa"/>
            <w:vAlign w:val="center"/>
          </w:tcPr>
          <w:p w14:paraId="21270395"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1.展示学生信息列表，展示学生最后轨迹，根据学生进出校园记录（校门口闸机数据）、公寓进出记录（公寓闸机数据）、食堂消费记录或杭医码绑定的相关使用记录进行判断；</w:t>
            </w:r>
            <w:r w:rsidRPr="004829C7">
              <w:rPr>
                <w:rFonts w:asciiTheme="minorEastAsia" w:eastAsiaTheme="minorEastAsia" w:hAnsiTheme="minorEastAsia" w:cs="微软雅黑" w:hint="eastAsia"/>
                <w:color w:val="000000"/>
                <w:kern w:val="0"/>
                <w:sz w:val="20"/>
                <w:lang w:bidi="ar"/>
              </w:rPr>
              <w:br/>
              <w:t>2.展示学生是否在校情况，支持根据计划配置时间进行数据分析，并且展示当前学生状态，分为填报出校已出校、填报出校未出校、填报入校已入校、填报入校未入校几种状态。</w:t>
            </w:r>
          </w:p>
        </w:tc>
      </w:tr>
      <w:tr w:rsidR="00B95136" w:rsidRPr="004829C7" w14:paraId="007354B9" w14:textId="77777777" w:rsidTr="00403A07">
        <w:trPr>
          <w:trHeight w:val="660"/>
        </w:trPr>
        <w:tc>
          <w:tcPr>
            <w:tcW w:w="0" w:type="auto"/>
            <w:noWrap/>
            <w:vAlign w:val="center"/>
          </w:tcPr>
          <w:p w14:paraId="40EFF63B"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7</w:t>
            </w:r>
          </w:p>
        </w:tc>
        <w:tc>
          <w:tcPr>
            <w:tcW w:w="1322" w:type="dxa"/>
            <w:vAlign w:val="center"/>
          </w:tcPr>
          <w:p w14:paraId="50C61D0F"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历史登记信息</w:t>
            </w:r>
          </w:p>
        </w:tc>
        <w:tc>
          <w:tcPr>
            <w:tcW w:w="6833" w:type="dxa"/>
            <w:vAlign w:val="center"/>
          </w:tcPr>
          <w:p w14:paraId="5B55AA4E"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展示学生信息名单，支持查看学生历史登记信息。</w:t>
            </w:r>
          </w:p>
        </w:tc>
      </w:tr>
      <w:tr w:rsidR="00B95136" w:rsidRPr="004829C7" w14:paraId="2B934EB7" w14:textId="77777777" w:rsidTr="00403A07">
        <w:trPr>
          <w:trHeight w:val="660"/>
        </w:trPr>
        <w:tc>
          <w:tcPr>
            <w:tcW w:w="0" w:type="auto"/>
            <w:noWrap/>
            <w:vAlign w:val="center"/>
          </w:tcPr>
          <w:p w14:paraId="6385DD46"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8</w:t>
            </w:r>
          </w:p>
        </w:tc>
        <w:tc>
          <w:tcPr>
            <w:tcW w:w="1322" w:type="dxa"/>
            <w:vAlign w:val="center"/>
          </w:tcPr>
          <w:p w14:paraId="2186BCBF"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假期去向登记</w:t>
            </w:r>
          </w:p>
        </w:tc>
        <w:tc>
          <w:tcPr>
            <w:tcW w:w="6833" w:type="dxa"/>
            <w:vAlign w:val="center"/>
          </w:tcPr>
          <w:p w14:paraId="4903A30F"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学生通过移动端进行节假日去向表单提交，支持根据学生基础信息进行信息预填报。</w:t>
            </w:r>
          </w:p>
        </w:tc>
      </w:tr>
      <w:tr w:rsidR="00B95136" w:rsidRPr="004829C7" w14:paraId="0BF4F65E" w14:textId="77777777" w:rsidTr="00403A07">
        <w:trPr>
          <w:trHeight w:val="330"/>
        </w:trPr>
        <w:tc>
          <w:tcPr>
            <w:tcW w:w="0" w:type="auto"/>
            <w:noWrap/>
            <w:vAlign w:val="center"/>
          </w:tcPr>
          <w:p w14:paraId="4D3F9B45"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11</w:t>
            </w:r>
          </w:p>
        </w:tc>
        <w:tc>
          <w:tcPr>
            <w:tcW w:w="1322" w:type="dxa"/>
            <w:vAlign w:val="center"/>
          </w:tcPr>
          <w:p w14:paraId="1C348946"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登记审核</w:t>
            </w:r>
          </w:p>
        </w:tc>
        <w:tc>
          <w:tcPr>
            <w:tcW w:w="6833" w:type="dxa"/>
            <w:vAlign w:val="center"/>
          </w:tcPr>
          <w:p w14:paraId="268308CA"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根据登录用户的角色显示其相应的审批信息，进行审批操作。</w:t>
            </w:r>
          </w:p>
        </w:tc>
      </w:tr>
      <w:tr w:rsidR="00B95136" w:rsidRPr="004829C7" w14:paraId="0189D937" w14:textId="77777777" w:rsidTr="00403A07">
        <w:trPr>
          <w:trHeight w:val="330"/>
        </w:trPr>
        <w:tc>
          <w:tcPr>
            <w:tcW w:w="0" w:type="auto"/>
            <w:noWrap/>
            <w:vAlign w:val="center"/>
          </w:tcPr>
          <w:p w14:paraId="4F9C247A"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12</w:t>
            </w:r>
          </w:p>
        </w:tc>
        <w:tc>
          <w:tcPr>
            <w:tcW w:w="1322" w:type="dxa"/>
            <w:vAlign w:val="center"/>
          </w:tcPr>
          <w:p w14:paraId="34303C3B"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未登记人员名单</w:t>
            </w:r>
          </w:p>
        </w:tc>
        <w:tc>
          <w:tcPr>
            <w:tcW w:w="6833" w:type="dxa"/>
            <w:vAlign w:val="center"/>
          </w:tcPr>
          <w:p w14:paraId="39836A17"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展示超期未登记学生人员信息列表。</w:t>
            </w:r>
          </w:p>
        </w:tc>
      </w:tr>
      <w:tr w:rsidR="00B95136" w:rsidRPr="004829C7" w14:paraId="3320AADF" w14:textId="77777777" w:rsidTr="00403A07">
        <w:trPr>
          <w:trHeight w:val="660"/>
        </w:trPr>
        <w:tc>
          <w:tcPr>
            <w:tcW w:w="0" w:type="auto"/>
            <w:noWrap/>
            <w:vAlign w:val="center"/>
          </w:tcPr>
          <w:p w14:paraId="205EB2D4" w14:textId="77777777" w:rsidR="00B95136" w:rsidRPr="004829C7" w:rsidRDefault="00B95136" w:rsidP="00403A07">
            <w:pPr>
              <w:widowControl/>
              <w:jc w:val="center"/>
              <w:textAlignment w:val="center"/>
              <w:rPr>
                <w:rFonts w:asciiTheme="minorEastAsia" w:eastAsiaTheme="minorEastAsia" w:hAnsiTheme="minorEastAsia" w:cs="DengXian"/>
                <w:color w:val="000000"/>
                <w:sz w:val="24"/>
              </w:rPr>
            </w:pPr>
            <w:r w:rsidRPr="004829C7">
              <w:rPr>
                <w:rFonts w:asciiTheme="minorEastAsia" w:eastAsiaTheme="minorEastAsia" w:hAnsiTheme="minorEastAsia" w:cs="DengXian" w:hint="eastAsia"/>
                <w:color w:val="000000"/>
                <w:kern w:val="0"/>
                <w:sz w:val="24"/>
                <w:szCs w:val="24"/>
                <w:lang w:bidi="ar"/>
              </w:rPr>
              <w:t>13</w:t>
            </w:r>
          </w:p>
        </w:tc>
        <w:tc>
          <w:tcPr>
            <w:tcW w:w="1322" w:type="dxa"/>
            <w:vAlign w:val="center"/>
          </w:tcPr>
          <w:p w14:paraId="6BFF2A0F"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学生当前在校情况</w:t>
            </w:r>
          </w:p>
        </w:tc>
        <w:tc>
          <w:tcPr>
            <w:tcW w:w="6833" w:type="dxa"/>
            <w:vAlign w:val="center"/>
          </w:tcPr>
          <w:p w14:paraId="36FD6BE3" w14:textId="77777777" w:rsidR="00B95136" w:rsidRPr="004829C7" w:rsidRDefault="00B95136" w:rsidP="00403A07">
            <w:pPr>
              <w:widowControl/>
              <w:jc w:val="left"/>
              <w:textAlignment w:val="center"/>
              <w:rPr>
                <w:rFonts w:asciiTheme="minorEastAsia" w:eastAsiaTheme="minorEastAsia" w:hAnsiTheme="minorEastAsia" w:cs="微软雅黑"/>
                <w:color w:val="000000"/>
                <w:sz w:val="20"/>
              </w:rPr>
            </w:pPr>
            <w:r w:rsidRPr="004829C7">
              <w:rPr>
                <w:rFonts w:asciiTheme="minorEastAsia" w:eastAsiaTheme="minorEastAsia" w:hAnsiTheme="minorEastAsia" w:cs="微软雅黑" w:hint="eastAsia"/>
                <w:color w:val="000000"/>
                <w:kern w:val="0"/>
                <w:sz w:val="20"/>
                <w:lang w:bidi="ar"/>
              </w:rPr>
              <w:t>展示根据学生轨迹情况分析得到的学生名单，分为填报出校已出校、填报出校未出校、填报入校已入校、填报入校未入校几种情况。</w:t>
            </w:r>
          </w:p>
        </w:tc>
      </w:tr>
    </w:tbl>
    <w:p w14:paraId="6D0F54A0" w14:textId="07B6B945" w:rsidR="00B95136" w:rsidRPr="007C3A98" w:rsidRDefault="00B95136" w:rsidP="004829C7">
      <w:pPr>
        <w:pStyle w:val="1"/>
        <w:rPr>
          <w:rFonts w:hint="eastAsia"/>
          <w:sz w:val="30"/>
          <w:szCs w:val="30"/>
        </w:rPr>
      </w:pPr>
      <w:r w:rsidRPr="007C3A98">
        <w:rPr>
          <w:rFonts w:hint="eastAsia"/>
          <w:sz w:val="30"/>
          <w:szCs w:val="30"/>
        </w:rPr>
        <w:lastRenderedPageBreak/>
        <w:t>项目建设总体要求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407"/>
      </w:tblGrid>
      <w:tr w:rsidR="00611C4C" w:rsidRPr="004829C7" w14:paraId="30EE29FD" w14:textId="77777777" w:rsidTr="00B95136">
        <w:trPr>
          <w:trHeight w:val="567"/>
          <w:jc w:val="center"/>
        </w:trPr>
        <w:tc>
          <w:tcPr>
            <w:tcW w:w="654" w:type="pct"/>
            <w:vAlign w:val="center"/>
          </w:tcPr>
          <w:p w14:paraId="7EEB67CD"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项目进度</w:t>
            </w:r>
          </w:p>
        </w:tc>
        <w:tc>
          <w:tcPr>
            <w:tcW w:w="4346" w:type="pct"/>
            <w:vAlign w:val="center"/>
          </w:tcPr>
          <w:p w14:paraId="30B12B29"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项目时间进度：</w:t>
            </w:r>
          </w:p>
          <w:p w14:paraId="3FAEFAE7" w14:textId="05526CB9" w:rsidR="00611C4C" w:rsidRPr="004829C7" w:rsidRDefault="00000000">
            <w:pPr>
              <w:spacing w:line="360" w:lineRule="exact"/>
              <w:textAlignment w:val="center"/>
              <w:rPr>
                <w:rFonts w:asciiTheme="minorEastAsia" w:eastAsiaTheme="minorEastAsia" w:hAnsiTheme="minorEastAsia" w:cs="宋体"/>
                <w:color w:val="0000FF"/>
                <w:szCs w:val="21"/>
              </w:rPr>
            </w:pPr>
            <w:r w:rsidRPr="004829C7">
              <w:rPr>
                <w:rFonts w:asciiTheme="minorEastAsia" w:eastAsiaTheme="minorEastAsia" w:hAnsiTheme="minorEastAsia" w:cs="宋体" w:hint="eastAsia"/>
                <w:color w:val="0000FF"/>
                <w:szCs w:val="21"/>
              </w:rPr>
              <w:t>项目建设完成</w:t>
            </w:r>
            <w:r w:rsidRPr="004829C7">
              <w:rPr>
                <w:rFonts w:asciiTheme="minorEastAsia" w:eastAsiaTheme="minorEastAsia" w:hAnsiTheme="minorEastAsia" w:cs="宋体" w:hint="eastAsia"/>
                <w:color w:val="0000FF"/>
                <w:szCs w:val="21"/>
              </w:rPr>
              <w:tab/>
              <w:t>2025-0</w:t>
            </w:r>
            <w:r w:rsidR="00EF39C8" w:rsidRPr="004829C7">
              <w:rPr>
                <w:rFonts w:asciiTheme="minorEastAsia" w:eastAsiaTheme="minorEastAsia" w:hAnsiTheme="minorEastAsia" w:cs="宋体" w:hint="eastAsia"/>
                <w:color w:val="0000FF"/>
                <w:szCs w:val="21"/>
              </w:rPr>
              <w:t>9</w:t>
            </w:r>
            <w:r w:rsidRPr="004829C7">
              <w:rPr>
                <w:rFonts w:asciiTheme="minorEastAsia" w:eastAsiaTheme="minorEastAsia" w:hAnsiTheme="minorEastAsia" w:cs="宋体" w:hint="eastAsia"/>
                <w:color w:val="0000FF"/>
                <w:szCs w:val="21"/>
              </w:rPr>
              <w:t>-</w:t>
            </w:r>
            <w:r w:rsidR="00EF39C8" w:rsidRPr="004829C7">
              <w:rPr>
                <w:rFonts w:asciiTheme="minorEastAsia" w:eastAsiaTheme="minorEastAsia" w:hAnsiTheme="minorEastAsia" w:cs="宋体" w:hint="eastAsia"/>
                <w:color w:val="0000FF"/>
                <w:szCs w:val="21"/>
              </w:rPr>
              <w:t>1</w:t>
            </w:r>
            <w:r w:rsidR="005E219E" w:rsidRPr="004829C7">
              <w:rPr>
                <w:rFonts w:asciiTheme="minorEastAsia" w:eastAsiaTheme="minorEastAsia" w:hAnsiTheme="minorEastAsia" w:cs="宋体" w:hint="eastAsia"/>
                <w:color w:val="0000FF"/>
                <w:szCs w:val="21"/>
              </w:rPr>
              <w:t>9</w:t>
            </w:r>
            <w:r w:rsidRPr="004829C7">
              <w:rPr>
                <w:rFonts w:asciiTheme="minorEastAsia" w:eastAsiaTheme="minorEastAsia" w:hAnsiTheme="minorEastAsia" w:cs="宋体" w:hint="eastAsia"/>
                <w:color w:val="0000FF"/>
                <w:szCs w:val="21"/>
              </w:rPr>
              <w:t xml:space="preserve"> 前</w:t>
            </w:r>
          </w:p>
          <w:p w14:paraId="19DD835A" w14:textId="17F394E2" w:rsidR="00611C4C" w:rsidRPr="004829C7" w:rsidRDefault="00000000">
            <w:pPr>
              <w:spacing w:line="360" w:lineRule="exact"/>
              <w:textAlignment w:val="center"/>
              <w:rPr>
                <w:rFonts w:asciiTheme="minorEastAsia" w:eastAsiaTheme="minorEastAsia" w:hAnsiTheme="minorEastAsia" w:cs="宋体"/>
                <w:color w:val="0000FF"/>
                <w:szCs w:val="21"/>
              </w:rPr>
            </w:pPr>
            <w:r w:rsidRPr="004829C7">
              <w:rPr>
                <w:rFonts w:asciiTheme="minorEastAsia" w:eastAsiaTheme="minorEastAsia" w:hAnsiTheme="minorEastAsia" w:cs="宋体" w:hint="eastAsia"/>
                <w:color w:val="0000FF"/>
                <w:szCs w:val="21"/>
              </w:rPr>
              <w:t>项目启动试运行</w:t>
            </w:r>
            <w:r w:rsidRPr="004829C7">
              <w:rPr>
                <w:rFonts w:asciiTheme="minorEastAsia" w:eastAsiaTheme="minorEastAsia" w:hAnsiTheme="minorEastAsia" w:cs="宋体" w:hint="eastAsia"/>
                <w:color w:val="0000FF"/>
                <w:szCs w:val="21"/>
              </w:rPr>
              <w:tab/>
              <w:t>2025-0</w:t>
            </w:r>
            <w:r w:rsidR="00EF39C8" w:rsidRPr="004829C7">
              <w:rPr>
                <w:rFonts w:asciiTheme="minorEastAsia" w:eastAsiaTheme="minorEastAsia" w:hAnsiTheme="minorEastAsia" w:cs="宋体" w:hint="eastAsia"/>
                <w:color w:val="0000FF"/>
                <w:szCs w:val="21"/>
              </w:rPr>
              <w:t>9</w:t>
            </w:r>
            <w:r w:rsidRPr="004829C7">
              <w:rPr>
                <w:rFonts w:asciiTheme="minorEastAsia" w:eastAsiaTheme="minorEastAsia" w:hAnsiTheme="minorEastAsia" w:cs="宋体" w:hint="eastAsia"/>
                <w:color w:val="0000FF"/>
                <w:szCs w:val="21"/>
              </w:rPr>
              <w:t>-</w:t>
            </w:r>
            <w:r w:rsidR="005E219E" w:rsidRPr="004829C7">
              <w:rPr>
                <w:rFonts w:asciiTheme="minorEastAsia" w:eastAsiaTheme="minorEastAsia" w:hAnsiTheme="minorEastAsia" w:cs="宋体" w:hint="eastAsia"/>
                <w:color w:val="0000FF"/>
                <w:szCs w:val="21"/>
              </w:rPr>
              <w:t>26</w:t>
            </w:r>
            <w:r w:rsidRPr="004829C7">
              <w:rPr>
                <w:rFonts w:asciiTheme="minorEastAsia" w:eastAsiaTheme="minorEastAsia" w:hAnsiTheme="minorEastAsia" w:cs="宋体" w:hint="eastAsia"/>
                <w:color w:val="0000FF"/>
                <w:szCs w:val="21"/>
              </w:rPr>
              <w:t xml:space="preserve"> 前</w:t>
            </w:r>
          </w:p>
          <w:p w14:paraId="3B164934" w14:textId="33313EAF"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color w:val="0000FF"/>
                <w:szCs w:val="21"/>
              </w:rPr>
              <w:t>项目验收</w:t>
            </w:r>
            <w:r w:rsidRPr="004829C7">
              <w:rPr>
                <w:rFonts w:asciiTheme="minorEastAsia" w:eastAsiaTheme="minorEastAsia" w:hAnsiTheme="minorEastAsia" w:cs="宋体" w:hint="eastAsia"/>
                <w:color w:val="0000FF"/>
                <w:szCs w:val="21"/>
              </w:rPr>
              <w:tab/>
              <w:t>2025-0</w:t>
            </w:r>
            <w:r w:rsidR="00EF39C8" w:rsidRPr="004829C7">
              <w:rPr>
                <w:rFonts w:asciiTheme="minorEastAsia" w:eastAsiaTheme="minorEastAsia" w:hAnsiTheme="minorEastAsia" w:cs="宋体" w:hint="eastAsia"/>
                <w:color w:val="0000FF"/>
                <w:szCs w:val="21"/>
              </w:rPr>
              <w:t>9</w:t>
            </w:r>
            <w:r w:rsidRPr="004829C7">
              <w:rPr>
                <w:rFonts w:asciiTheme="minorEastAsia" w:eastAsiaTheme="minorEastAsia" w:hAnsiTheme="minorEastAsia" w:cs="宋体" w:hint="eastAsia"/>
                <w:color w:val="0000FF"/>
                <w:szCs w:val="21"/>
              </w:rPr>
              <w:t>-</w:t>
            </w:r>
            <w:r w:rsidR="005E219E" w:rsidRPr="004829C7">
              <w:rPr>
                <w:rFonts w:asciiTheme="minorEastAsia" w:eastAsiaTheme="minorEastAsia" w:hAnsiTheme="minorEastAsia" w:cs="宋体" w:hint="eastAsia"/>
                <w:color w:val="0000FF"/>
                <w:szCs w:val="21"/>
              </w:rPr>
              <w:t>30</w:t>
            </w:r>
            <w:r w:rsidRPr="004829C7">
              <w:rPr>
                <w:rFonts w:asciiTheme="minorEastAsia" w:eastAsiaTheme="minorEastAsia" w:hAnsiTheme="minorEastAsia" w:cs="宋体" w:hint="eastAsia"/>
                <w:color w:val="0000FF"/>
                <w:szCs w:val="21"/>
              </w:rPr>
              <w:t xml:space="preserve"> 前</w:t>
            </w:r>
          </w:p>
        </w:tc>
      </w:tr>
      <w:tr w:rsidR="00611C4C" w:rsidRPr="004829C7" w14:paraId="48F365DE" w14:textId="77777777" w:rsidTr="00B95136">
        <w:trPr>
          <w:trHeight w:val="567"/>
          <w:jc w:val="center"/>
        </w:trPr>
        <w:tc>
          <w:tcPr>
            <w:tcW w:w="654" w:type="pct"/>
            <w:vAlign w:val="center"/>
          </w:tcPr>
          <w:p w14:paraId="7DDF23F4"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人员方案</w:t>
            </w:r>
          </w:p>
        </w:tc>
        <w:tc>
          <w:tcPr>
            <w:tcW w:w="4346" w:type="pct"/>
            <w:vAlign w:val="center"/>
          </w:tcPr>
          <w:p w14:paraId="7FED73BB"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项目人员方案</w:t>
            </w:r>
          </w:p>
          <w:p w14:paraId="58D89696"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本项目将成立项目小组，主要负完成项目的各项建设任务，如项目推进、软件采购、合同签订等工作，协调推进建设过程中的相关问题，确保整个项目按步骤、有计划、高效率、高质量地进行，梳理意见反馈的流转模式、整理业务规则，向实施方提出并确认具体的业务需求。另外根据项目管理要求，做好项目质量、进度的管控。</w:t>
            </w:r>
          </w:p>
        </w:tc>
      </w:tr>
      <w:tr w:rsidR="00611C4C" w:rsidRPr="004829C7" w14:paraId="04BB41CE" w14:textId="77777777" w:rsidTr="00B95136">
        <w:trPr>
          <w:trHeight w:val="567"/>
          <w:jc w:val="center"/>
        </w:trPr>
        <w:tc>
          <w:tcPr>
            <w:tcW w:w="654" w:type="pct"/>
            <w:vAlign w:val="center"/>
          </w:tcPr>
          <w:p w14:paraId="5597F863" w14:textId="77777777" w:rsidR="00611C4C" w:rsidRPr="004829C7" w:rsidRDefault="00000000">
            <w:pPr>
              <w:spacing w:line="360" w:lineRule="exact"/>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安全防护</w:t>
            </w:r>
          </w:p>
        </w:tc>
        <w:tc>
          <w:tcPr>
            <w:tcW w:w="4346" w:type="pct"/>
            <w:vAlign w:val="center"/>
          </w:tcPr>
          <w:p w14:paraId="385F67D0"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系统防护与安全审计</w:t>
            </w:r>
          </w:p>
          <w:p w14:paraId="061D37F3"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Web安全防护</w:t>
            </w:r>
          </w:p>
          <w:p w14:paraId="28CE3BD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 xml:space="preserve">输入过滤：对用户提交内容进行严格校验。  </w:t>
            </w:r>
          </w:p>
          <w:p w14:paraId="7C3F3065"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 xml:space="preserve">安全组件：集成Web应用防火墙，配置防爬虫、CC攻击策略。  </w:t>
            </w:r>
          </w:p>
          <w:p w14:paraId="5E523EEA"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安全审计与日志管理</w:t>
            </w:r>
          </w:p>
          <w:p w14:paraId="1FEEAFB7"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操作日志：记录用户登录、意见提交、处理操作等关键行为，日志保存≥6个月。</w:t>
            </w:r>
          </w:p>
          <w:p w14:paraId="44886F42"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异常监控：实时监测异常访问，触发告警通知管理员。</w:t>
            </w:r>
          </w:p>
          <w:p w14:paraId="16B36DA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审计工具：实现日志分析与可视化。</w:t>
            </w:r>
          </w:p>
        </w:tc>
      </w:tr>
      <w:tr w:rsidR="00611C4C" w:rsidRPr="004829C7" w14:paraId="1C4F1F29" w14:textId="77777777" w:rsidTr="00B95136">
        <w:trPr>
          <w:trHeight w:val="567"/>
          <w:jc w:val="center"/>
        </w:trPr>
        <w:tc>
          <w:tcPr>
            <w:tcW w:w="654" w:type="pct"/>
            <w:vAlign w:val="center"/>
          </w:tcPr>
          <w:p w14:paraId="1718F688"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隐私保护</w:t>
            </w:r>
          </w:p>
        </w:tc>
        <w:tc>
          <w:tcPr>
            <w:tcW w:w="4346" w:type="pct"/>
            <w:vAlign w:val="center"/>
          </w:tcPr>
          <w:p w14:paraId="321CDD50"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用户隐私保护</w:t>
            </w:r>
          </w:p>
          <w:p w14:paraId="5EAC6ACC"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知情同意：用户提交意见时需明确同意《隐私政策》，说明数据用途及存储期限。</w:t>
            </w:r>
          </w:p>
          <w:p w14:paraId="4E792080"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匿名选项：提供完全匿名提交模式。</w:t>
            </w:r>
          </w:p>
          <w:p w14:paraId="1805FE95"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数据最小化：仅收集必要信息，禁止超范围采集。</w:t>
            </w:r>
          </w:p>
          <w:p w14:paraId="064696DF"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合规性要求</w:t>
            </w:r>
          </w:p>
          <w:p w14:paraId="4A6EE85A"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符合中国《网络安全法》《个人信息保护法》《数据安全法》要求。</w:t>
            </w:r>
          </w:p>
        </w:tc>
      </w:tr>
      <w:tr w:rsidR="00611C4C" w:rsidRPr="004829C7" w14:paraId="4122F530" w14:textId="77777777" w:rsidTr="00B95136">
        <w:trPr>
          <w:trHeight w:val="567"/>
          <w:jc w:val="center"/>
        </w:trPr>
        <w:tc>
          <w:tcPr>
            <w:tcW w:w="654" w:type="pct"/>
            <w:vAlign w:val="center"/>
          </w:tcPr>
          <w:p w14:paraId="5BDBCD94" w14:textId="77777777" w:rsidR="00611C4C" w:rsidRPr="004829C7" w:rsidRDefault="00000000">
            <w:pPr>
              <w:spacing w:line="360" w:lineRule="exact"/>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第三方安全</w:t>
            </w:r>
          </w:p>
        </w:tc>
        <w:tc>
          <w:tcPr>
            <w:tcW w:w="4346" w:type="pct"/>
            <w:vAlign w:val="center"/>
          </w:tcPr>
          <w:p w14:paraId="34187CF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第三方服务安全</w:t>
            </w:r>
          </w:p>
          <w:p w14:paraId="271AD4FB"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短信/邮件服务商需通过ISO 27001认证，确保通道安全。</w:t>
            </w:r>
          </w:p>
          <w:p w14:paraId="1BFC8C00"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使用微信小程序等第三方平台时，需遵循其安全开发规范。</w:t>
            </w:r>
          </w:p>
          <w:p w14:paraId="52622E91"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API接口安全</w:t>
            </w:r>
          </w:p>
          <w:p w14:paraId="3CC6891A"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接口访问需通过OAuth2.0或JWT令牌认证，限制调用频率。</w:t>
            </w:r>
          </w:p>
          <w:p w14:paraId="55D7D447"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敏感接口需二次验证。</w:t>
            </w:r>
          </w:p>
        </w:tc>
      </w:tr>
      <w:tr w:rsidR="00611C4C" w:rsidRPr="004829C7" w14:paraId="04325C52" w14:textId="77777777" w:rsidTr="00B95136">
        <w:trPr>
          <w:trHeight w:val="567"/>
          <w:jc w:val="center"/>
        </w:trPr>
        <w:tc>
          <w:tcPr>
            <w:tcW w:w="654" w:type="pct"/>
            <w:vAlign w:val="center"/>
          </w:tcPr>
          <w:p w14:paraId="64014902"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服务</w:t>
            </w:r>
          </w:p>
        </w:tc>
        <w:tc>
          <w:tcPr>
            <w:tcW w:w="4346" w:type="pct"/>
            <w:vAlign w:val="center"/>
          </w:tcPr>
          <w:p w14:paraId="4FAD9E6C"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服务质量控制措施</w:t>
            </w:r>
          </w:p>
          <w:p w14:paraId="03D1AB4B"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（1）项目质量控制机制</w:t>
            </w:r>
          </w:p>
          <w:p w14:paraId="2B512A9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szCs w:val="21"/>
              </w:rPr>
              <w:t></w:t>
            </w:r>
            <w:r w:rsidRPr="004829C7">
              <w:rPr>
                <w:rFonts w:asciiTheme="minorEastAsia" w:eastAsiaTheme="minorEastAsia" w:hAnsiTheme="minorEastAsia" w:cs="宋体" w:hint="eastAsia"/>
                <w:szCs w:val="21"/>
              </w:rPr>
              <w:t>项目质量管理实行如下监督与控制机制：</w:t>
            </w:r>
          </w:p>
          <w:p w14:paraId="02C231E5"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szCs w:val="21"/>
              </w:rPr>
              <w:t></w:t>
            </w:r>
            <w:r w:rsidRPr="004829C7">
              <w:rPr>
                <w:rFonts w:asciiTheme="minorEastAsia" w:eastAsiaTheme="minorEastAsia" w:hAnsiTheme="minorEastAsia" w:cs="宋体" w:hint="eastAsia"/>
                <w:szCs w:val="21"/>
              </w:rPr>
              <w:t>项目小组每周提交项目周报，每隔一周召开项目例会，探讨项目进展和项目</w:t>
            </w:r>
            <w:r w:rsidRPr="004829C7">
              <w:rPr>
                <w:rFonts w:asciiTheme="minorEastAsia" w:eastAsiaTheme="minorEastAsia" w:hAnsiTheme="minorEastAsia" w:cs="宋体" w:hint="eastAsia"/>
                <w:szCs w:val="21"/>
              </w:rPr>
              <w:lastRenderedPageBreak/>
              <w:t>中相关问题，其它不定期会议根据实际安排。</w:t>
            </w:r>
          </w:p>
          <w:p w14:paraId="396FD7D3"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szCs w:val="21"/>
              </w:rPr>
              <w:t></w:t>
            </w:r>
            <w:r w:rsidRPr="004829C7">
              <w:rPr>
                <w:rFonts w:asciiTheme="minorEastAsia" w:eastAsiaTheme="minorEastAsia" w:hAnsiTheme="minorEastAsia" w:cs="宋体" w:hint="eastAsia"/>
                <w:szCs w:val="21"/>
              </w:rPr>
              <w:t>针对供应商情况，探讨项目阶段进展和成果及策划下阶段工作，归档所有文件、报告、供应商提交的文档、程序及产品等。</w:t>
            </w:r>
          </w:p>
          <w:p w14:paraId="57D047E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szCs w:val="21"/>
              </w:rPr>
              <w:t></w:t>
            </w:r>
            <w:r w:rsidRPr="004829C7">
              <w:rPr>
                <w:rFonts w:asciiTheme="minorEastAsia" w:eastAsiaTheme="minorEastAsia" w:hAnsiTheme="minorEastAsia" w:cs="宋体" w:hint="eastAsia"/>
                <w:szCs w:val="21"/>
              </w:rPr>
              <w:t>由项目负责教师对项目质量、进度和投资进行监督，并协调项目实施过程中各个单位之间的工作关系；定期检查、监督项目的进度和质量，及时发现问题，并监督项目建设机构整改等工作。</w:t>
            </w:r>
          </w:p>
          <w:p w14:paraId="66D382B9"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（2）质量控制内容</w:t>
            </w:r>
          </w:p>
          <w:p w14:paraId="70D42FA9"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szCs w:val="21"/>
              </w:rPr>
              <w:t></w:t>
            </w:r>
            <w:r w:rsidRPr="004829C7">
              <w:rPr>
                <w:rFonts w:asciiTheme="minorEastAsia" w:eastAsiaTheme="minorEastAsia" w:hAnsiTheme="minorEastAsia" w:cs="宋体" w:hint="eastAsia"/>
                <w:szCs w:val="21"/>
              </w:rPr>
              <w:t>项目小组审批供应商提交的项目组织设计、项目技术措施和方案，审查质量保证计划，审批质量保证实施报告，必要时对项目质量进行复测，对项目质量进行全过程全面的监督管理，审查供应商按合同规定提交的质量自检报告，试运行后进行项目验收。</w:t>
            </w:r>
          </w:p>
        </w:tc>
      </w:tr>
      <w:tr w:rsidR="00611C4C" w:rsidRPr="004829C7" w14:paraId="4A393158" w14:textId="77777777" w:rsidTr="00B95136">
        <w:trPr>
          <w:trHeight w:val="567"/>
          <w:jc w:val="center"/>
        </w:trPr>
        <w:tc>
          <w:tcPr>
            <w:tcW w:w="654" w:type="pct"/>
            <w:vAlign w:val="center"/>
          </w:tcPr>
          <w:p w14:paraId="22200F01"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lastRenderedPageBreak/>
              <w:t>培训</w:t>
            </w:r>
          </w:p>
        </w:tc>
        <w:tc>
          <w:tcPr>
            <w:tcW w:w="4346" w:type="pct"/>
            <w:vAlign w:val="center"/>
          </w:tcPr>
          <w:p w14:paraId="57CA3D4C"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培训要求</w:t>
            </w:r>
          </w:p>
          <w:p w14:paraId="5C3F9B6F"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通过操作培训和技术培训，以确保相关人员能够熟练系统操作和管理内容。组织培训课程，包括系统操作和故障排除等方面的培训。培训结合实际案例和操作演示，以协助相关人员快速掌握技能并解决常见问题。此外还需准备详细的技术文档和用户手册，作为参考和指导。</w:t>
            </w:r>
          </w:p>
          <w:p w14:paraId="4092571D"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本项目组织培训的具体时间、场地和规模将根据实际情况安排确定。本项目实施完毕后，需进行相应的人员培训，培训坚持以下原则:</w:t>
            </w:r>
          </w:p>
          <w:p w14:paraId="7D7B447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（1）针对性</w:t>
            </w:r>
          </w:p>
          <w:p w14:paraId="61B3E89A"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针对不同设备或者系统进行专项培训;针对不同使用人员进行专项培训;针对不同培训要求和疑问进行培训;</w:t>
            </w:r>
          </w:p>
          <w:p w14:paraId="770F8751"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（2）实用性</w:t>
            </w:r>
          </w:p>
          <w:p w14:paraId="1FCE5F16"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能够切实解决使用中的问题;能够帮助培训对象在所培训方面有所提高;</w:t>
            </w:r>
          </w:p>
          <w:p w14:paraId="11DF31D2"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（3）实时性</w:t>
            </w:r>
          </w:p>
          <w:p w14:paraId="342A38EA"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根据设备或者系统问题的发生，随时进行现场培训；根据陪同实施的系统管理员疑问的提出，随时进行实施的现场培训；根据实施的工作内容，对陪同实施的系统管理员进行相关的实时培训。</w:t>
            </w:r>
          </w:p>
          <w:p w14:paraId="213199A9"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本项目需提供1次现场集中教学培训，时长不少于2小时，培训内容包括系统操作、管理、监控和维护、操作性错误的处理、一般性故障的处理、重大故障的发现和描述、问题追踪、操作记录方法、故障记录方法等内容。</w:t>
            </w:r>
          </w:p>
        </w:tc>
      </w:tr>
      <w:tr w:rsidR="00611C4C" w:rsidRPr="004829C7" w14:paraId="73599748" w14:textId="77777777" w:rsidTr="00B95136">
        <w:trPr>
          <w:trHeight w:val="567"/>
          <w:jc w:val="center"/>
        </w:trPr>
        <w:tc>
          <w:tcPr>
            <w:tcW w:w="654" w:type="pct"/>
            <w:vAlign w:val="center"/>
          </w:tcPr>
          <w:p w14:paraId="63AD532A"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验收</w:t>
            </w:r>
          </w:p>
        </w:tc>
        <w:tc>
          <w:tcPr>
            <w:tcW w:w="4346" w:type="pct"/>
            <w:vAlign w:val="center"/>
          </w:tcPr>
          <w:p w14:paraId="5F3F2D28"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验收准责</w:t>
            </w:r>
          </w:p>
          <w:p w14:paraId="130EE2DF"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本项目各项交付产品的验收准则将以项目的需求规格说明为主要准则，系统达到相应的功能、性能、易用性等需求后，才能认为可以通过验收。</w:t>
            </w:r>
          </w:p>
          <w:p w14:paraId="0689013F"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当系统通过试运行测试后，系统正式投入运行，当系统达到了规定的试运行时间，并且系统运行状况良好，学校方同意验收申请时，由提供方向学校提交《项目验收申请》，校方在接到《项目验收申请》的规定日期内，组织项目验收小组进行该项目的验收，听取系统的试运行报告和工程实施报告等，项目评审小组进行现场实地测试，最后给出项目小组评审意见，得出项目验收结论。</w:t>
            </w:r>
          </w:p>
          <w:p w14:paraId="771C8AFF"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lastRenderedPageBreak/>
              <w:t>验收交付</w:t>
            </w:r>
          </w:p>
          <w:p w14:paraId="5EB8CA32"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项目建设验收是按照交付后来进行验收。</w:t>
            </w:r>
          </w:p>
          <w:p w14:paraId="63E0F514"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当系统通过试运行测试后，系统正式投入生产，当系统达到了规定的试运行时间，系统运行状况良好，学校方同意验收申请时，由提供方向学校提交项目验收申请，在接到验收申请的规定日期内，组织项目验收小组进行该项目的验收，听取系统提供商作系统运行报告和工程实施报告等，项目评审小组进行现场实地测试，最后给出项目小组评审意见，得出项目验收结论。</w:t>
            </w:r>
          </w:p>
          <w:p w14:paraId="7ADB9668"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具体项目验收流程如下：</w:t>
            </w:r>
          </w:p>
          <w:p w14:paraId="022461E5"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提供方提交项目验收申请，填写项目验收申请表，用户在接到项目验收申请后，做出相应回复，成立项目验收小组；</w:t>
            </w:r>
          </w:p>
          <w:p w14:paraId="7DDBFB61"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学校组织项目验收小组对该项目进行验收；</w:t>
            </w:r>
          </w:p>
          <w:p w14:paraId="321AA822"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提供方向项目验收小组提供工程实施文档、测试文档、设备清单、技术文档；用户要编写用户使用报告。验收依据</w:t>
            </w:r>
          </w:p>
          <w:p w14:paraId="3B233EE8"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①　项目合同书及其附件；</w:t>
            </w:r>
          </w:p>
          <w:p w14:paraId="2BF91142"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②　国家、教育部、学校有关标准；</w:t>
            </w:r>
          </w:p>
          <w:p w14:paraId="726DB6A1"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③　项目中规定的其它依据。</w:t>
            </w:r>
          </w:p>
        </w:tc>
      </w:tr>
      <w:tr w:rsidR="00611C4C" w:rsidRPr="004829C7" w14:paraId="2DC1261A" w14:textId="77777777" w:rsidTr="00B95136">
        <w:trPr>
          <w:trHeight w:val="567"/>
          <w:jc w:val="center"/>
        </w:trPr>
        <w:tc>
          <w:tcPr>
            <w:tcW w:w="654" w:type="pct"/>
            <w:vAlign w:val="center"/>
          </w:tcPr>
          <w:p w14:paraId="3F01844F"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lastRenderedPageBreak/>
              <w:t>交付</w:t>
            </w:r>
          </w:p>
        </w:tc>
        <w:tc>
          <w:tcPr>
            <w:tcW w:w="4346" w:type="pct"/>
            <w:vAlign w:val="center"/>
          </w:tcPr>
          <w:p w14:paraId="7C7B6DD2"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交付内容</w:t>
            </w:r>
          </w:p>
          <w:p w14:paraId="23F1EAE6"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本项目的交付成果为：</w:t>
            </w:r>
          </w:p>
          <w:p w14:paraId="510A7851"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应用软件：包括软件产品、定制开发部分；</w:t>
            </w:r>
          </w:p>
          <w:p w14:paraId="138B7CAD"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项目实施的相关文档文件：在本期项目的开发过程中和交付使用后，各个阶段都会有各种成果和文档资料。这些成果和文档资料对所开发系统的维护和持续发展起着非常重大的作用。</w:t>
            </w:r>
          </w:p>
        </w:tc>
      </w:tr>
      <w:tr w:rsidR="00611C4C" w:rsidRPr="004829C7" w14:paraId="7C6813A4" w14:textId="77777777" w:rsidTr="00B95136">
        <w:trPr>
          <w:trHeight w:val="567"/>
          <w:jc w:val="center"/>
        </w:trPr>
        <w:tc>
          <w:tcPr>
            <w:tcW w:w="654" w:type="pct"/>
            <w:vAlign w:val="center"/>
          </w:tcPr>
          <w:p w14:paraId="6FA451E8" w14:textId="77777777" w:rsidR="00611C4C" w:rsidRPr="004829C7" w:rsidRDefault="00000000">
            <w:pPr>
              <w:spacing w:line="360" w:lineRule="exact"/>
              <w:jc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维保</w:t>
            </w:r>
          </w:p>
        </w:tc>
        <w:tc>
          <w:tcPr>
            <w:tcW w:w="4346" w:type="pct"/>
            <w:vAlign w:val="center"/>
          </w:tcPr>
          <w:p w14:paraId="2D4E21F3"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维保方式</w:t>
            </w:r>
          </w:p>
          <w:p w14:paraId="62AAD848"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质保期为合同验收通过后3年，质保期内提供5*8小时的即时电话、邮件、远程协助等服务，对于紧急的故障事项，在2小时内响应，并在1个工作日内解决问题或提供相应的解决办法，其他影响使用的非紧急事项，在1个工作日内响应，并在2个工作日内解决问题或提供相应的解决办法。无偿承担故障维修、维护保养及软件升级的义务，确系质量原因无法正常工作时，无偿更换全新合格的产品。</w:t>
            </w:r>
          </w:p>
          <w:p w14:paraId="6E21AAD5" w14:textId="77777777" w:rsidR="00611C4C" w:rsidRPr="004829C7" w:rsidRDefault="00000000">
            <w:pPr>
              <w:spacing w:line="360" w:lineRule="exact"/>
              <w:textAlignment w:val="center"/>
              <w:rPr>
                <w:rFonts w:asciiTheme="minorEastAsia" w:eastAsiaTheme="minorEastAsia" w:hAnsiTheme="minorEastAsia" w:cs="宋体"/>
                <w:szCs w:val="21"/>
              </w:rPr>
            </w:pPr>
            <w:r w:rsidRPr="004829C7">
              <w:rPr>
                <w:rFonts w:asciiTheme="minorEastAsia" w:eastAsiaTheme="minorEastAsia" w:hAnsiTheme="minorEastAsia" w:cs="宋体" w:hint="eastAsia"/>
                <w:szCs w:val="21"/>
              </w:rPr>
              <w:t>质保期内和质保期后，保证接到通知后及时处理，若系统发生重大故障，收到采购人通知后，在24小时内响应并解决。质保期满后，出现故障只收取成本费。</w:t>
            </w:r>
          </w:p>
        </w:tc>
      </w:tr>
    </w:tbl>
    <w:p w14:paraId="65EA21B7" w14:textId="77777777" w:rsidR="00611C4C" w:rsidRPr="004829C7" w:rsidRDefault="00611C4C">
      <w:pPr>
        <w:rPr>
          <w:rFonts w:asciiTheme="minorEastAsia" w:eastAsiaTheme="minorEastAsia" w:hAnsiTheme="minorEastAsia"/>
        </w:rPr>
      </w:pPr>
    </w:p>
    <w:sectPr w:rsidR="00611C4C" w:rsidRPr="0048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2B30D7"/>
    <w:multiLevelType w:val="multilevel"/>
    <w:tmpl w:val="EAA20BBC"/>
    <w:lvl w:ilvl="0">
      <w:start w:val="1"/>
      <w:numFmt w:val="decimal"/>
      <w:pStyle w:val="1"/>
      <w:lvlText w:val="%1."/>
      <w:lvlJc w:val="left"/>
      <w:pPr>
        <w:ind w:left="432" w:hanging="432"/>
      </w:pPr>
      <w:rPr>
        <w:rFonts w:hint="default"/>
        <w:lang w:eastAsia="zh-CN"/>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16cid:durableId="22292214">
    <w:abstractNumId w:val="0"/>
  </w:num>
  <w:num w:numId="2" w16cid:durableId="1672173847">
    <w:abstractNumId w:val="0"/>
  </w:num>
  <w:num w:numId="3" w16cid:durableId="121654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5E4113"/>
    <w:rsid w:val="00285348"/>
    <w:rsid w:val="00335DEC"/>
    <w:rsid w:val="004829C7"/>
    <w:rsid w:val="005E219E"/>
    <w:rsid w:val="00611C4C"/>
    <w:rsid w:val="007C3A98"/>
    <w:rsid w:val="00A109AA"/>
    <w:rsid w:val="00B95136"/>
    <w:rsid w:val="00C8649B"/>
    <w:rsid w:val="00E02E75"/>
    <w:rsid w:val="00EF39C8"/>
    <w:rsid w:val="2D5E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780BA2"/>
  <w15:docId w15:val="{BBFCBBB6-CBFC-EA40-8531-72DC752D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B95136"/>
    <w:pPr>
      <w:keepNext/>
      <w:keepLines/>
      <w:numPr>
        <w:numId w:val="1"/>
      </w:numPr>
      <w:spacing w:before="340" w:after="330" w:line="576" w:lineRule="auto"/>
      <w:outlineLvl w:val="0"/>
    </w:pPr>
    <w:rPr>
      <w:rFonts w:asciiTheme="minorHAnsi" w:eastAsiaTheme="minorEastAsia" w:hAnsiTheme="minorHAnsi" w:cstheme="minorBidi"/>
      <w:b/>
      <w:kern w:val="44"/>
      <w:sz w:val="44"/>
      <w:szCs w:val="24"/>
    </w:rPr>
  </w:style>
  <w:style w:type="paragraph" w:styleId="2">
    <w:name w:val="heading 2"/>
    <w:basedOn w:val="a"/>
    <w:next w:val="a"/>
    <w:link w:val="21"/>
    <w:semiHidden/>
    <w:unhideWhenUsed/>
    <w:qFormat/>
    <w:rsid w:val="00B95136"/>
    <w:pPr>
      <w:keepNext/>
      <w:keepLines/>
      <w:numPr>
        <w:ilvl w:val="1"/>
        <w:numId w:val="1"/>
      </w:numPr>
      <w:spacing w:before="260" w:after="260" w:line="413" w:lineRule="auto"/>
      <w:outlineLvl w:val="1"/>
    </w:pPr>
    <w:rPr>
      <w:rFonts w:ascii="Arial" w:eastAsia="黑体" w:hAnsi="Arial" w:cstheme="minorBidi"/>
      <w:b/>
      <w:sz w:val="32"/>
      <w:szCs w:val="24"/>
    </w:rPr>
  </w:style>
  <w:style w:type="paragraph" w:styleId="3">
    <w:name w:val="heading 3"/>
    <w:basedOn w:val="a"/>
    <w:next w:val="a"/>
    <w:link w:val="30"/>
    <w:semiHidden/>
    <w:unhideWhenUsed/>
    <w:qFormat/>
    <w:rsid w:val="00B95136"/>
    <w:pPr>
      <w:keepNext/>
      <w:keepLines/>
      <w:numPr>
        <w:ilvl w:val="2"/>
        <w:numId w:val="1"/>
      </w:numPr>
      <w:spacing w:before="260" w:after="260" w:line="413" w:lineRule="auto"/>
      <w:outlineLvl w:val="2"/>
    </w:pPr>
    <w:rPr>
      <w:rFonts w:asciiTheme="minorHAnsi" w:eastAsiaTheme="minorEastAsia" w:hAnsiTheme="minorHAnsi" w:cstheme="minorBidi"/>
      <w:b/>
      <w:sz w:val="32"/>
      <w:szCs w:val="24"/>
    </w:rPr>
  </w:style>
  <w:style w:type="paragraph" w:styleId="4">
    <w:name w:val="heading 4"/>
    <w:basedOn w:val="a"/>
    <w:next w:val="a"/>
    <w:link w:val="40"/>
    <w:semiHidden/>
    <w:unhideWhenUsed/>
    <w:qFormat/>
    <w:rsid w:val="00B95136"/>
    <w:pPr>
      <w:keepNext/>
      <w:keepLines/>
      <w:numPr>
        <w:ilvl w:val="3"/>
        <w:numId w:val="1"/>
      </w:numPr>
      <w:spacing w:before="280" w:after="290" w:line="372" w:lineRule="auto"/>
      <w:outlineLvl w:val="3"/>
    </w:pPr>
    <w:rPr>
      <w:rFonts w:ascii="Arial" w:eastAsia="黑体" w:hAnsi="Arial" w:cstheme="minorBidi"/>
      <w:b/>
      <w:sz w:val="28"/>
      <w:szCs w:val="24"/>
    </w:rPr>
  </w:style>
  <w:style w:type="paragraph" w:styleId="5">
    <w:name w:val="heading 5"/>
    <w:basedOn w:val="a"/>
    <w:next w:val="a"/>
    <w:link w:val="50"/>
    <w:semiHidden/>
    <w:unhideWhenUsed/>
    <w:qFormat/>
    <w:rsid w:val="00B95136"/>
    <w:pPr>
      <w:keepNext/>
      <w:keepLines/>
      <w:numPr>
        <w:ilvl w:val="4"/>
        <w:numId w:val="1"/>
      </w:numPr>
      <w:spacing w:before="280" w:after="290" w:line="372" w:lineRule="auto"/>
      <w:outlineLvl w:val="4"/>
    </w:pPr>
    <w:rPr>
      <w:rFonts w:asciiTheme="minorHAnsi" w:eastAsiaTheme="minorEastAsia" w:hAnsiTheme="minorHAnsi" w:cstheme="minorBidi"/>
      <w:b/>
      <w:sz w:val="28"/>
      <w:szCs w:val="24"/>
    </w:rPr>
  </w:style>
  <w:style w:type="paragraph" w:styleId="6">
    <w:name w:val="heading 6"/>
    <w:basedOn w:val="a"/>
    <w:next w:val="a"/>
    <w:link w:val="60"/>
    <w:semiHidden/>
    <w:unhideWhenUsed/>
    <w:qFormat/>
    <w:rsid w:val="00B95136"/>
    <w:pPr>
      <w:keepNext/>
      <w:keepLines/>
      <w:numPr>
        <w:ilvl w:val="5"/>
        <w:numId w:val="1"/>
      </w:numPr>
      <w:spacing w:before="240" w:after="64" w:line="317" w:lineRule="auto"/>
      <w:outlineLvl w:val="5"/>
    </w:pPr>
    <w:rPr>
      <w:rFonts w:ascii="Arial" w:eastAsia="黑体" w:hAnsi="Arial" w:cstheme="minorBidi"/>
      <w:b/>
      <w:sz w:val="24"/>
      <w:szCs w:val="24"/>
    </w:rPr>
  </w:style>
  <w:style w:type="paragraph" w:styleId="7">
    <w:name w:val="heading 7"/>
    <w:basedOn w:val="a"/>
    <w:next w:val="a"/>
    <w:link w:val="70"/>
    <w:semiHidden/>
    <w:unhideWhenUsed/>
    <w:qFormat/>
    <w:rsid w:val="00B95136"/>
    <w:pPr>
      <w:keepNext/>
      <w:keepLines/>
      <w:numPr>
        <w:ilvl w:val="6"/>
        <w:numId w:val="1"/>
      </w:numPr>
      <w:spacing w:before="240" w:after="64" w:line="317" w:lineRule="auto"/>
      <w:outlineLvl w:val="6"/>
    </w:pPr>
    <w:rPr>
      <w:rFonts w:asciiTheme="minorHAnsi" w:eastAsiaTheme="minorEastAsia" w:hAnsiTheme="minorHAnsi" w:cstheme="minorBidi"/>
      <w:b/>
      <w:sz w:val="24"/>
      <w:szCs w:val="24"/>
    </w:rPr>
  </w:style>
  <w:style w:type="paragraph" w:styleId="8">
    <w:name w:val="heading 8"/>
    <w:basedOn w:val="a"/>
    <w:next w:val="a"/>
    <w:link w:val="80"/>
    <w:semiHidden/>
    <w:unhideWhenUsed/>
    <w:qFormat/>
    <w:rsid w:val="00B95136"/>
    <w:pPr>
      <w:keepNext/>
      <w:keepLines/>
      <w:numPr>
        <w:ilvl w:val="7"/>
        <w:numId w:val="1"/>
      </w:numPr>
      <w:spacing w:before="240" w:after="64" w:line="317" w:lineRule="auto"/>
      <w:outlineLvl w:val="7"/>
    </w:pPr>
    <w:rPr>
      <w:rFonts w:ascii="Arial" w:eastAsia="黑体" w:hAnsi="Arial" w:cstheme="minorBidi"/>
      <w:sz w:val="24"/>
      <w:szCs w:val="24"/>
    </w:rPr>
  </w:style>
  <w:style w:type="paragraph" w:styleId="9">
    <w:name w:val="heading 9"/>
    <w:basedOn w:val="a"/>
    <w:next w:val="a"/>
    <w:link w:val="90"/>
    <w:semiHidden/>
    <w:unhideWhenUsed/>
    <w:qFormat/>
    <w:rsid w:val="00B95136"/>
    <w:pPr>
      <w:keepNext/>
      <w:keepLines/>
      <w:numPr>
        <w:ilvl w:val="8"/>
        <w:numId w:val="1"/>
      </w:numPr>
      <w:spacing w:before="240" w:after="64" w:line="317" w:lineRule="auto"/>
      <w:outlineLvl w:val="8"/>
    </w:pPr>
    <w:rPr>
      <w:rFonts w:ascii="Arial" w:eastAsia="黑体" w:hAnsi="Arial" w:cstheme="min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pPr>
      <w:spacing w:after="120" w:line="240" w:lineRule="auto"/>
      <w:ind w:leftChars="200" w:left="200" w:firstLineChars="200" w:firstLine="420"/>
    </w:pPr>
    <w:rPr>
      <w:rFonts w:eastAsia="宋体"/>
      <w:sz w:val="21"/>
    </w:rPr>
  </w:style>
  <w:style w:type="paragraph" w:styleId="a3">
    <w:name w:val="Body Text Indent"/>
    <w:basedOn w:val="a"/>
    <w:next w:val="a"/>
    <w:qFormat/>
    <w:pPr>
      <w:spacing w:line="380" w:lineRule="exact"/>
      <w:ind w:firstLine="480"/>
    </w:pPr>
    <w:rPr>
      <w:rFonts w:eastAsia="方正书宋简体"/>
      <w:sz w:val="24"/>
    </w:rPr>
  </w:style>
  <w:style w:type="character" w:customStyle="1" w:styleId="10">
    <w:name w:val="标题 1 字符"/>
    <w:basedOn w:val="a0"/>
    <w:link w:val="1"/>
    <w:rsid w:val="00B95136"/>
    <w:rPr>
      <w:b/>
      <w:kern w:val="44"/>
      <w:sz w:val="44"/>
      <w:szCs w:val="24"/>
    </w:rPr>
  </w:style>
  <w:style w:type="character" w:customStyle="1" w:styleId="21">
    <w:name w:val="标题 2 字符"/>
    <w:basedOn w:val="a0"/>
    <w:link w:val="2"/>
    <w:semiHidden/>
    <w:rsid w:val="00B95136"/>
    <w:rPr>
      <w:rFonts w:ascii="Arial" w:eastAsia="黑体" w:hAnsi="Arial"/>
      <w:b/>
      <w:kern w:val="2"/>
      <w:sz w:val="32"/>
      <w:szCs w:val="24"/>
    </w:rPr>
  </w:style>
  <w:style w:type="character" w:customStyle="1" w:styleId="30">
    <w:name w:val="标题 3 字符"/>
    <w:basedOn w:val="a0"/>
    <w:link w:val="3"/>
    <w:semiHidden/>
    <w:rsid w:val="00B95136"/>
    <w:rPr>
      <w:b/>
      <w:kern w:val="2"/>
      <w:sz w:val="32"/>
      <w:szCs w:val="24"/>
    </w:rPr>
  </w:style>
  <w:style w:type="character" w:customStyle="1" w:styleId="40">
    <w:name w:val="标题 4 字符"/>
    <w:basedOn w:val="a0"/>
    <w:link w:val="4"/>
    <w:semiHidden/>
    <w:rsid w:val="00B95136"/>
    <w:rPr>
      <w:rFonts w:ascii="Arial" w:eastAsia="黑体" w:hAnsi="Arial"/>
      <w:b/>
      <w:kern w:val="2"/>
      <w:sz w:val="28"/>
      <w:szCs w:val="24"/>
    </w:rPr>
  </w:style>
  <w:style w:type="character" w:customStyle="1" w:styleId="50">
    <w:name w:val="标题 5 字符"/>
    <w:basedOn w:val="a0"/>
    <w:link w:val="5"/>
    <w:semiHidden/>
    <w:rsid w:val="00B95136"/>
    <w:rPr>
      <w:b/>
      <w:kern w:val="2"/>
      <w:sz w:val="28"/>
      <w:szCs w:val="24"/>
    </w:rPr>
  </w:style>
  <w:style w:type="character" w:customStyle="1" w:styleId="60">
    <w:name w:val="标题 6 字符"/>
    <w:basedOn w:val="a0"/>
    <w:link w:val="6"/>
    <w:semiHidden/>
    <w:rsid w:val="00B95136"/>
    <w:rPr>
      <w:rFonts w:ascii="Arial" w:eastAsia="黑体" w:hAnsi="Arial"/>
      <w:b/>
      <w:kern w:val="2"/>
      <w:sz w:val="24"/>
      <w:szCs w:val="24"/>
    </w:rPr>
  </w:style>
  <w:style w:type="character" w:customStyle="1" w:styleId="70">
    <w:name w:val="标题 7 字符"/>
    <w:basedOn w:val="a0"/>
    <w:link w:val="7"/>
    <w:semiHidden/>
    <w:rsid w:val="00B95136"/>
    <w:rPr>
      <w:b/>
      <w:kern w:val="2"/>
      <w:sz w:val="24"/>
      <w:szCs w:val="24"/>
    </w:rPr>
  </w:style>
  <w:style w:type="character" w:customStyle="1" w:styleId="80">
    <w:name w:val="标题 8 字符"/>
    <w:basedOn w:val="a0"/>
    <w:link w:val="8"/>
    <w:semiHidden/>
    <w:rsid w:val="00B95136"/>
    <w:rPr>
      <w:rFonts w:ascii="Arial" w:eastAsia="黑体" w:hAnsi="Arial"/>
      <w:kern w:val="2"/>
      <w:sz w:val="24"/>
      <w:szCs w:val="24"/>
    </w:rPr>
  </w:style>
  <w:style w:type="character" w:customStyle="1" w:styleId="90">
    <w:name w:val="标题 9 字符"/>
    <w:basedOn w:val="a0"/>
    <w:link w:val="9"/>
    <w:semiHidden/>
    <w:rsid w:val="00B95136"/>
    <w:rPr>
      <w:rFonts w:ascii="Arial" w:eastAsia="黑体" w:hAnsi="Arial"/>
      <w:kern w:val="2"/>
      <w:sz w:val="21"/>
      <w:szCs w:val="24"/>
    </w:rPr>
  </w:style>
  <w:style w:type="paragraph" w:styleId="a4">
    <w:name w:val="Title"/>
    <w:basedOn w:val="a"/>
    <w:next w:val="a"/>
    <w:link w:val="a5"/>
    <w:qFormat/>
    <w:rsid w:val="00C8649B"/>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rsid w:val="00C8649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青涩橘猫</dc:creator>
  <cp:lastModifiedBy>Keeno Mao</cp:lastModifiedBy>
  <cp:revision>16</cp:revision>
  <dcterms:created xsi:type="dcterms:W3CDTF">2025-06-25T07:14:00Z</dcterms:created>
  <dcterms:modified xsi:type="dcterms:W3CDTF">2025-09-03T07:59:00Z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C7326882F5C2452AB42BA3D1BE900267_11</vt:lpwstr>
  </property>
  <property fmtid="{D5CDD505-2E9C-101B-9397-08002B2CF9AE}" pid="4" name="KSOTemplateDocerSaveRecord">
    <vt:lpwstr>eyJoZGlkIjoiZDlhZDVkMTljOTcxNzNjYTg5YjBiYTViZmNkNGIyZjciLCJ1c2VySWQiOiI0MjUyNzcwMTUifQ==</vt:lpwstr>
  </property>
</Properties>
</file>