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16" w:name="_GoBack"/>
      <w:r>
        <w:rPr>
          <w:rFonts w:hint="eastAsia" w:asciiTheme="minorEastAsia" w:hAnsiTheme="minorEastAsia"/>
          <w:b/>
          <w:sz w:val="32"/>
          <w:szCs w:val="32"/>
          <w:lang w:val="en-US" w:eastAsia="zh-CN"/>
        </w:rPr>
        <w:t>杭州医学院公共多媒体教室设备项目</w:t>
      </w:r>
      <w:r>
        <w:rPr>
          <w:rFonts w:hint="eastAsia" w:asciiTheme="minorEastAsia" w:hAnsiTheme="minorEastAsia"/>
          <w:b/>
          <w:sz w:val="32"/>
          <w:szCs w:val="32"/>
        </w:rPr>
        <w:t>招标需求</w:t>
      </w:r>
    </w:p>
    <w:bookmarkEnd w:id="16"/>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1、</w:t>
      </w:r>
      <w:r>
        <w:rPr>
          <w:rFonts w:hint="eastAsia" w:asciiTheme="minorEastAsia" w:hAnsiTheme="minorEastAsia"/>
          <w:sz w:val="28"/>
          <w:szCs w:val="28"/>
        </w:rPr>
        <w:t>项目概况</w:t>
      </w:r>
    </w:p>
    <w:p>
      <w:pPr>
        <w:keepNext w:val="0"/>
        <w:keepLines w:val="0"/>
        <w:widowControl w:val="0"/>
        <w:suppressLineNumbers w:val="0"/>
        <w:spacing w:before="0" w:beforeAutospacing="0" w:after="0" w:afterAutospacing="0"/>
        <w:ind w:left="0" w:right="0" w:firstLine="420" w:firstLineChars="200"/>
        <w:jc w:val="both"/>
        <w:rPr>
          <w:rFonts w:hint="eastAsia" w:cs="仿宋_GB2312" w:asciiTheme="minorEastAsia" w:hAnsiTheme="minorEastAsia" w:eastAsiaTheme="minorEastAsia"/>
          <w:snapToGrid w:val="0"/>
          <w:lang w:val="en-US" w:eastAsia="zh-CN"/>
        </w:rPr>
      </w:pPr>
      <w:r>
        <w:rPr>
          <w:rFonts w:hint="eastAsia" w:cs="仿宋_GB2312" w:asciiTheme="minorEastAsia" w:hAnsiTheme="minorEastAsia" w:eastAsiaTheme="minorEastAsia"/>
          <w:snapToGrid w:val="0"/>
          <w:lang w:val="en-US" w:eastAsia="zh-CN"/>
        </w:rPr>
        <w:t>杭州医学院公共多媒体教室设备项目</w:t>
      </w:r>
      <w:r>
        <w:rPr>
          <w:rFonts w:hint="eastAsia" w:cs="仿宋_GB2312" w:asciiTheme="minorEastAsia" w:hAnsiTheme="minorEastAsia"/>
          <w:snapToGrid w:val="0"/>
          <w:lang w:val="en-US" w:eastAsia="zh-CN"/>
        </w:rPr>
        <w:t>主要</w:t>
      </w:r>
      <w:r>
        <w:rPr>
          <w:rFonts w:hint="eastAsia" w:cs="仿宋_GB2312" w:asciiTheme="minorEastAsia" w:hAnsiTheme="minorEastAsia" w:eastAsiaTheme="minorEastAsia"/>
          <w:snapToGrid w:val="0"/>
          <w:lang w:val="en-US"/>
        </w:rPr>
        <w:t>包含投影机、电脑主机、球机、电视机设备，用于滨江校区</w:t>
      </w:r>
      <w:r>
        <w:rPr>
          <w:rFonts w:hint="eastAsia" w:cs="仿宋_GB2312" w:asciiTheme="minorEastAsia" w:hAnsiTheme="minorEastAsia"/>
          <w:snapToGrid w:val="0"/>
          <w:lang w:val="en-US" w:eastAsia="zh-CN"/>
        </w:rPr>
        <w:t>、临安校区</w:t>
      </w:r>
      <w:r>
        <w:rPr>
          <w:rFonts w:hint="eastAsia" w:cs="仿宋_GB2312" w:asciiTheme="minorEastAsia" w:hAnsiTheme="minorEastAsia" w:eastAsiaTheme="minorEastAsia"/>
          <w:snapToGrid w:val="0"/>
          <w:lang w:val="en-US"/>
        </w:rPr>
        <w:t>公共多媒体教室设备的更新，共计17.86万</w:t>
      </w:r>
      <w:r>
        <w:rPr>
          <w:rFonts w:hint="eastAsia" w:cs="仿宋_GB2312" w:asciiTheme="minorEastAsia" w:hAnsiTheme="minorEastAsia"/>
          <w:snapToGrid w:val="0"/>
          <w:lang w:val="en-US" w:eastAsia="zh-CN"/>
        </w:rPr>
        <w:t>。</w:t>
      </w:r>
    </w:p>
    <w:p>
      <w:pPr>
        <w:keepNext w:val="0"/>
        <w:keepLines w:val="0"/>
        <w:widowControl w:val="0"/>
        <w:suppressLineNumbers w:val="0"/>
        <w:spacing w:before="0" w:beforeAutospacing="0" w:after="0" w:afterAutospacing="0"/>
        <w:ind w:left="0" w:right="0" w:firstLine="420" w:firstLineChars="200"/>
        <w:jc w:val="both"/>
        <w:rPr>
          <w:rFonts w:hint="default" w:cs="仿宋_GB2312" w:asciiTheme="minorEastAsia" w:hAnsiTheme="minorEastAsia" w:eastAsiaTheme="minorEastAsia"/>
          <w:snapToGrid w:val="0"/>
          <w:lang w:eastAsia="zh-CN"/>
        </w:rPr>
      </w:pP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2、项目清单</w:t>
      </w:r>
    </w:p>
    <w:tbl>
      <w:tblPr>
        <w:tblStyle w:val="11"/>
        <w:tblW w:w="8237" w:type="dxa"/>
        <w:tblInd w:w="0" w:type="dxa"/>
        <w:tblLayout w:type="fixed"/>
        <w:tblCellMar>
          <w:top w:w="0" w:type="dxa"/>
          <w:left w:w="0" w:type="dxa"/>
          <w:bottom w:w="0" w:type="dxa"/>
          <w:right w:w="0" w:type="dxa"/>
        </w:tblCellMar>
      </w:tblPr>
      <w:tblGrid>
        <w:gridCol w:w="1089"/>
        <w:gridCol w:w="2328"/>
        <w:gridCol w:w="1560"/>
        <w:gridCol w:w="708"/>
        <w:gridCol w:w="1134"/>
        <w:gridCol w:w="1418"/>
      </w:tblGrid>
      <w:tr>
        <w:tblPrEx>
          <w:tblCellMar>
            <w:top w:w="0" w:type="dxa"/>
            <w:left w:w="0" w:type="dxa"/>
            <w:bottom w:w="0" w:type="dxa"/>
            <w:right w:w="0" w:type="dxa"/>
          </w:tblCellMar>
        </w:tblPrEx>
        <w:trPr>
          <w:trHeight w:val="44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设备名称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113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最高限价</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小计</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元</w:t>
            </w:r>
            <w:r>
              <w:rPr>
                <w:rFonts w:hint="eastAsia" w:ascii="宋体" w:hAnsi="宋体" w:eastAsia="宋体" w:cs="宋体"/>
                <w:b/>
                <w:bCs/>
                <w:color w:val="000000"/>
                <w:kern w:val="0"/>
                <w:sz w:val="24"/>
                <w:szCs w:val="24"/>
                <w:highlight w:val="none"/>
                <w:lang w:eastAsia="zh-CN"/>
              </w:rPr>
              <w:t>）</w:t>
            </w:r>
          </w:p>
        </w:tc>
      </w:tr>
      <w:tr>
        <w:tblPrEx>
          <w:tblCellMar>
            <w:top w:w="0" w:type="dxa"/>
            <w:left w:w="0" w:type="dxa"/>
            <w:bottom w:w="0" w:type="dxa"/>
            <w:right w:w="0" w:type="dxa"/>
          </w:tblCellMar>
        </w:tblPrEx>
        <w:trPr>
          <w:trHeight w:val="355"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1</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center"/>
              <w:rPr>
                <w:sz w:val="24"/>
                <w:szCs w:val="24"/>
                <w:highlight w:val="none"/>
              </w:rPr>
            </w:pPr>
            <w:r>
              <w:rPr>
                <w:rFonts w:hint="eastAsia"/>
                <w:sz w:val="24"/>
                <w:szCs w:val="24"/>
                <w:highlight w:val="none"/>
              </w:rPr>
              <w:t>台式电脑主机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eastAsiaTheme="minorEastAsia"/>
                <w:sz w:val="24"/>
                <w:szCs w:val="24"/>
                <w:highlight w:val="none"/>
                <w:lang w:eastAsia="zh-CN"/>
              </w:rPr>
            </w:pPr>
            <w:r>
              <w:rPr>
                <w:rFonts w:hint="eastAsia"/>
                <w:sz w:val="24"/>
                <w:szCs w:val="24"/>
                <w:highlight w:val="none"/>
                <w:lang w:val="en-US" w:eastAsia="zh-CN"/>
              </w:rPr>
              <w:t>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eastAsiaTheme="minorEastAsia"/>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4400 </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eastAsiaTheme="minorEastAsia"/>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44000 </w:t>
            </w:r>
          </w:p>
        </w:tc>
      </w:tr>
      <w:tr>
        <w:tblPrEx>
          <w:tblCellMar>
            <w:top w:w="0" w:type="dxa"/>
            <w:left w:w="0" w:type="dxa"/>
            <w:bottom w:w="0" w:type="dxa"/>
            <w:right w:w="0" w:type="dxa"/>
          </w:tblCellMar>
        </w:tblPrEx>
        <w:trPr>
          <w:trHeight w:val="44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eastAsiaTheme="minorEastAsia"/>
                <w:sz w:val="24"/>
                <w:szCs w:val="24"/>
                <w:highlight w:val="none"/>
                <w:lang w:eastAsia="zh-CN"/>
              </w:rPr>
            </w:pPr>
            <w:r>
              <w:rPr>
                <w:rFonts w:hint="eastAsia"/>
                <w:sz w:val="24"/>
                <w:szCs w:val="24"/>
                <w:highlight w:val="none"/>
                <w:lang w:val="en-US" w:eastAsia="zh-CN"/>
              </w:rPr>
              <w:t>2</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网络球机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0"/>
                <w:szCs w:val="20"/>
                <w:u w:val="none"/>
                <w:lang w:val="en-US" w:eastAsia="zh-CN" w:bidi="ar"/>
              </w:rPr>
              <w:t>1200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0"/>
                <w:szCs w:val="20"/>
                <w:u w:val="none"/>
                <w:lang w:val="en-US" w:eastAsia="zh-CN" w:bidi="ar"/>
              </w:rPr>
              <w:t xml:space="preserve">6000 </w:t>
            </w:r>
          </w:p>
        </w:tc>
      </w:tr>
      <w:tr>
        <w:tblPrEx>
          <w:tblCellMar>
            <w:top w:w="0" w:type="dxa"/>
            <w:left w:w="0" w:type="dxa"/>
            <w:bottom w:w="0" w:type="dxa"/>
            <w:right w:w="0" w:type="dxa"/>
          </w:tblCellMar>
        </w:tblPrEx>
        <w:trPr>
          <w:trHeight w:val="44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sz w:val="24"/>
                <w:szCs w:val="24"/>
                <w:highlight w:val="none"/>
                <w:lang w:val="en-US" w:eastAsia="zh-CN"/>
              </w:rPr>
            </w:pPr>
            <w:r>
              <w:rPr>
                <w:rFonts w:hint="eastAsia"/>
                <w:sz w:val="24"/>
                <w:szCs w:val="24"/>
                <w:highlight w:val="none"/>
                <w:lang w:val="en-US" w:eastAsia="zh-CN"/>
              </w:rPr>
              <w:t>3</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65寸电视机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lang w:val="en-US" w:eastAsia="zh-CN"/>
              </w:rPr>
              <w:t>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0"/>
                <w:szCs w:val="20"/>
                <w:u w:val="none"/>
                <w:lang w:val="en-US" w:eastAsia="zh-CN" w:bidi="ar"/>
              </w:rPr>
              <w:t>3400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0"/>
                <w:szCs w:val="20"/>
                <w:u w:val="none"/>
                <w:lang w:val="en-US" w:eastAsia="zh-CN" w:bidi="ar"/>
              </w:rPr>
              <w:t xml:space="preserve">30600 </w:t>
            </w:r>
          </w:p>
        </w:tc>
      </w:tr>
      <w:tr>
        <w:tblPrEx>
          <w:tblCellMar>
            <w:top w:w="0" w:type="dxa"/>
            <w:left w:w="0" w:type="dxa"/>
            <w:bottom w:w="0" w:type="dxa"/>
            <w:right w:w="0" w:type="dxa"/>
          </w:tblCellMar>
        </w:tblPrEx>
        <w:trPr>
          <w:trHeight w:val="432"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sz w:val="24"/>
                <w:szCs w:val="24"/>
                <w:highlight w:val="none"/>
                <w:lang w:val="en-US" w:eastAsia="zh-CN"/>
              </w:rPr>
            </w:pPr>
            <w:r>
              <w:rPr>
                <w:rFonts w:hint="eastAsia"/>
                <w:sz w:val="24"/>
                <w:szCs w:val="24"/>
                <w:highlight w:val="none"/>
                <w:lang w:val="en-US" w:eastAsia="zh-CN"/>
              </w:rPr>
              <w:t>4</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工程投影机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rPr>
              <w:t>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0"/>
                <w:szCs w:val="20"/>
                <w:u w:val="none"/>
                <w:lang w:val="en-US" w:eastAsia="zh-CN" w:bidi="ar"/>
              </w:rPr>
              <w:t>9800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0"/>
                <w:szCs w:val="20"/>
                <w:u w:val="none"/>
                <w:lang w:val="en-US" w:eastAsia="zh-CN" w:bidi="ar"/>
              </w:rPr>
              <w:t xml:space="preserve">98000 </w:t>
            </w:r>
          </w:p>
        </w:tc>
      </w:tr>
      <w:tr>
        <w:tblPrEx>
          <w:tblCellMar>
            <w:top w:w="0" w:type="dxa"/>
            <w:left w:w="0" w:type="dxa"/>
            <w:bottom w:w="0" w:type="dxa"/>
            <w:right w:w="0" w:type="dxa"/>
          </w:tblCellMar>
        </w:tblPrEx>
        <w:trPr>
          <w:trHeight w:val="400" w:hRule="atLeast"/>
        </w:trPr>
        <w:tc>
          <w:tcPr>
            <w:tcW w:w="681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color w:val="auto"/>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178600 </w:t>
            </w:r>
          </w:p>
        </w:tc>
      </w:tr>
    </w:tbl>
    <w:p>
      <w:pPr>
        <w:widowControl/>
        <w:jc w:val="left"/>
        <w:rPr>
          <w:rFonts w:cs="Arial" w:asciiTheme="minorEastAsia" w:hAnsiTheme="minorEastAsia"/>
          <w:b/>
          <w:bCs/>
          <w:color w:val="000000"/>
          <w:kern w:val="0"/>
          <w:sz w:val="22"/>
        </w:rPr>
      </w:pPr>
    </w:p>
    <w:p>
      <w:pPr>
        <w:pStyle w:val="3"/>
        <w:spacing w:before="0" w:after="0" w:line="360" w:lineRule="auto"/>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技术参数要求</w:t>
      </w:r>
    </w:p>
    <w:tbl>
      <w:tblPr>
        <w:tblStyle w:val="11"/>
        <w:tblW w:w="4903" w:type="pct"/>
        <w:tblInd w:w="0" w:type="dxa"/>
        <w:tblLayout w:type="autofit"/>
        <w:tblCellMar>
          <w:top w:w="0" w:type="dxa"/>
          <w:left w:w="0" w:type="dxa"/>
          <w:bottom w:w="0" w:type="dxa"/>
          <w:right w:w="0" w:type="dxa"/>
        </w:tblCellMar>
      </w:tblPr>
      <w:tblGrid>
        <w:gridCol w:w="804"/>
        <w:gridCol w:w="1048"/>
        <w:gridCol w:w="10018"/>
        <w:gridCol w:w="1847"/>
      </w:tblGrid>
      <w:tr>
        <w:tblPrEx>
          <w:tblCellMar>
            <w:top w:w="0" w:type="dxa"/>
            <w:left w:w="0" w:type="dxa"/>
            <w:bottom w:w="0" w:type="dxa"/>
            <w:right w:w="0" w:type="dxa"/>
          </w:tblCellMar>
        </w:tblPrEx>
        <w:trPr>
          <w:trHeight w:val="626"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w:t>
            </w:r>
          </w:p>
        </w:tc>
        <w:tc>
          <w:tcPr>
            <w:tcW w:w="36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技术特征</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品牌</w:t>
            </w:r>
          </w:p>
        </w:tc>
      </w:tr>
      <w:tr>
        <w:tblPrEx>
          <w:tblCellMar>
            <w:top w:w="0" w:type="dxa"/>
            <w:left w:w="0" w:type="dxa"/>
            <w:bottom w:w="0" w:type="dxa"/>
            <w:right w:w="0" w:type="dxa"/>
          </w:tblCellMar>
        </w:tblPrEx>
        <w:trPr>
          <w:trHeight w:val="122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电脑</w:t>
            </w:r>
          </w:p>
        </w:tc>
        <w:tc>
          <w:tcPr>
            <w:tcW w:w="36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处理器</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英特尔 ® 酷睿™ 第十代 / 十一代处理器i5-11500 (6 核/12MB/12T/2.7GHz 至 4.6GHz/65W);</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芯片组≥Intel Q570芯片组</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8GB DDR4 内存 (支持4插槽扩展，最高支持3200 MHz 内存)</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256GB （可支持2个以上M.2 固态硬盘和4个2.5寸 SATA 硬盘）</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以太网 LAN 10/100/1000 (支持WIFI 6 +蓝牙5.1)</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立体声扬声器，采用 Waves MaxxAudio® Pro总计4W功率</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★视频端口</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2个DisplayPort 1.4 端口 ；支持1个HDMI 2.0b 端口或VGA端口</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★扩展插槽</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个全高第三代 PCIe x16 插槽 ；1 个全高 PCIe x16（串接为 x4）插槽； 1 个全高 PCI-32 插槽； 1 个全高 PCIe x1 插槽；1 个用于 Wi-Fi 和蓝牙卡的 M.2 2230 插槽； 1 个用于固态硬盘 / 英特尔傲腾内存的 M.2 2230/2280 插槽 ；1 个用于固态硬盘 / 英特尔傲腾内存的 M.2 2280 插槽 ；4 个用于 2.5 英寸 HDD/SSD 和纤薄光驱的 SATA 插槽</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I/O端口</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10*USB(USB3.2&gt;7个) ;RJ-45端口;通用音频插孔(2in1);串并口(可选);PS2(可选) </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★机箱</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立式机箱 体积≥18.6L,免工具开箱</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不低于460W功率 80Plus 白金认证，最高支持能效为 92% 的500W高效 PSU（80 Plus 白金认证），（电源与主机同品牌、具备电源故障诊断指示灯，诊断灯和电源一体，可通过诊断灯是否亮起诊断电源故障）</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键盘鼠标</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原厂USB键鼠套装</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★认证</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权威机构提供的平均无故障时间100万小时认证证书;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设备原厂具备工程设计专项资质和建筑智能化系统设计乙级，提供工程设计资质证书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设备通过国家电子计算机质量监督检验中心的电磁兼容性检验:1、电源端口雷击实验（实验电压：横向2.5kV,纵向2.5Kv）；2、电信端口雷击实验（实验电压：横向1.5kV,端口对地1.5Kv）</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设备通过国家电子计算机质量监督检验中心噪声检验：噪声声功率级为2.87Bel（A）</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CCC认证、能源之星认证、EPEAT认证</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设备通过国家电子计算机质量监督检验中心防火实验</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以上认证均需要提供相关证书证明</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5年原厂金牌服务+硬盘不返还。可选(CFI：工厂映像加载、BIOS 定制、硬件定制、资产标记和报)</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网络同传</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出厂预装同品牌网络同传软件，简单易懂，方便操作。</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基于Windows平台，支持Windows2000、WindowsXP、、Windows Vista、Windows7、Windows8，windows10，Windows server 2003，Windows 2008 R2等全系列Windows平台，及linux立即还原。</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★支持GPT/MBR系统0秒切换不需要设置BIOS直接进入。</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★最大系统管理：最多支持创建64个操作系统，可隐藏操作系统不让使用，支持NTFS/FAT32资料盘自动清除，支持共用分区保护。</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IP地址管理：支持多系统多IP功能(不同系统可设定不同IP或DHCP)，支持网卡与IP地址绑定。</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★网络同传速度：100Mbps网络环境下克隆速度 600-800Mbps /分，1Gbps网络环境下克隆速度1200M--5000Mbps /分。</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★最大同传模式：支持任意发送端，最多支持254台电脑网络同传，采用树状多点还原技术，支持建立254个还原点，每个还原点各自独立，可恢复任意还原点。</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 远程还原控制：可设定任意还原点：如每次开机还原、每天还原，每周一还原、每月一号还原。</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 ★远程外设管理：支持禁止使用USB ，DVD/CD-ROM存储设备。</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 ★★远程网络控制：可控制学生机是否能上网，或者设定机房内计算机内外网的访问黑白名单，提供良好教学环境。</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★★远程屏幕查看：可远程查看学生机屏幕，对学生进行实时指导。</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 ★★远程屏幕广播：支持远程屏幕消息广播，及时通知消息，在练习，考试时进行提醒。</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 ★远程屏幕锁定：自动锁定屏幕，鼠标，键盘，使学生认真听讲。1</w:t>
            </w:r>
            <w:r>
              <w:rPr>
                <w:rFonts w:hint="default" w:ascii="宋体" w:hAnsi="宋体" w:eastAsia="宋体" w:cs="宋体"/>
                <w:color w:val="000000"/>
                <w:kern w:val="0"/>
                <w:sz w:val="24"/>
                <w:szCs w:val="24"/>
              </w:rPr>
              <w:t>4</w:t>
            </w:r>
            <w:r>
              <w:rPr>
                <w:rFonts w:hint="eastAsia" w:ascii="宋体" w:hAnsi="宋体" w:eastAsia="宋体" w:cs="宋体"/>
                <w:color w:val="000000"/>
                <w:kern w:val="0"/>
                <w:sz w:val="24"/>
                <w:szCs w:val="24"/>
              </w:rPr>
              <w:t>.windows 10 正版软件。</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default" w:ascii="宋体" w:hAnsi="宋体" w:eastAsia="宋体" w:cs="宋体"/>
                <w:color w:val="000000"/>
                <w:kern w:val="0"/>
                <w:sz w:val="24"/>
                <w:szCs w:val="24"/>
              </w:rPr>
              <w:t>5</w:t>
            </w:r>
            <w:r>
              <w:rPr>
                <w:rFonts w:hint="eastAsia" w:ascii="宋体" w:hAnsi="宋体" w:eastAsia="宋体" w:cs="宋体"/>
                <w:color w:val="000000"/>
                <w:kern w:val="0"/>
                <w:sz w:val="24"/>
                <w:szCs w:val="24"/>
              </w:rPr>
              <w:t>.保修服务：</w:t>
            </w:r>
          </w:p>
          <w:p>
            <w:pPr>
              <w:widowControl/>
              <w:ind w:firstLine="360" w:firstLineChars="1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整机5年原厂上门服务，一诺闪修：当日下午4点前报修，下一自然日24点前修复，若没有完成修复，则为客户免费赠送延迟日数对应的月度延保服务；数据拯救服务：面向HDD/SSD，针对其软件原因或硬件原因导致数据丢失的情况，厂商将提供1次免费的尝试性故障硬盘（单盘）数据拯救服务，若未恢复则不计次数；</w:t>
            </w:r>
          </w:p>
          <w:p>
            <w:pPr>
              <w:widowControl/>
              <w:jc w:val="left"/>
              <w:textAlignment w:val="center"/>
              <w:rPr>
                <w:rFonts w:hint="default" w:ascii="宋体" w:hAnsi="宋体" w:eastAsia="宋体" w:cs="宋体"/>
                <w:kern w:val="0"/>
                <w:sz w:val="24"/>
                <w:szCs w:val="24"/>
              </w:rPr>
            </w:pPr>
            <w:r>
              <w:rPr>
                <w:rFonts w:hint="eastAsia" w:ascii="宋体" w:hAnsi="宋体" w:eastAsia="宋体" w:cs="宋体"/>
                <w:color w:val="000000"/>
                <w:kern w:val="0"/>
                <w:sz w:val="24"/>
                <w:szCs w:val="24"/>
              </w:rPr>
              <w:t>整机原装不拆封直发用户指定地址，设备保修信息为杭州医学院</w:t>
            </w:r>
            <w:r>
              <w:rPr>
                <w:rFonts w:hint="default" w:ascii="宋体" w:hAnsi="宋体" w:eastAsia="宋体" w:cs="宋体"/>
                <w:color w:val="000000"/>
                <w:kern w:val="0"/>
                <w:sz w:val="24"/>
                <w:szCs w:val="24"/>
              </w:rPr>
              <w:t>。</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戴尔 联想 惠普</w:t>
            </w:r>
          </w:p>
        </w:tc>
      </w:tr>
      <w:tr>
        <w:tblPrEx>
          <w:tblCellMar>
            <w:top w:w="0" w:type="dxa"/>
            <w:left w:w="0" w:type="dxa"/>
            <w:bottom w:w="0" w:type="dxa"/>
            <w:right w:w="0" w:type="dxa"/>
          </w:tblCellMar>
        </w:tblPrEx>
        <w:trPr>
          <w:trHeight w:val="243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网络球机</w:t>
            </w:r>
          </w:p>
        </w:tc>
        <w:tc>
          <w:tcPr>
            <w:tcW w:w="36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基础参数</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传感器类型：1/2.8＂ progressive scan CMOS</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最低照度：彩色：0.005Lux @ (F1.5，AGC ON),黑白：0.001Lux @ (F1.5, AGC ON)</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镜头</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焦距：2.8~12 mm</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视场角：104.5~33度（广角~望远）</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一般规范</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供电方式：DC12V,PoE(802.3af)</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电源接口类型：圆头</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电流及功耗：最大功耗：10 W</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工作温湿度：-30℃-65℃;湿度小于90%</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尺寸：Ø140.7 × 107.2 mm</w:t>
            </w:r>
          </w:p>
          <w:p>
            <w:pPr>
              <w:widowControl/>
              <w:jc w:val="left"/>
              <w:textAlignment w:val="center"/>
              <w:rPr>
                <w:rFonts w:hint="eastAsia" w:asciiTheme="minorEastAsia" w:hAnsiTheme="minorEastAsia" w:eastAsiaTheme="minorEastAsia" w:cstheme="minorEastAsia"/>
                <w:kern w:val="0"/>
                <w:sz w:val="24"/>
                <w:szCs w:val="24"/>
                <w:lang w:eastAsia="zh-CN"/>
              </w:rPr>
            </w:pPr>
            <w:r>
              <w:rPr>
                <w:rFonts w:hint="eastAsia" w:ascii="宋体" w:hAnsi="宋体" w:eastAsia="宋体" w:cs="宋体"/>
                <w:color w:val="000000"/>
                <w:kern w:val="0"/>
                <w:sz w:val="24"/>
                <w:szCs w:val="24"/>
              </w:rPr>
              <w:t xml:space="preserve"> 重量：950 g</w:t>
            </w:r>
            <w:r>
              <w:rPr>
                <w:rFonts w:hint="eastAsia" w:asciiTheme="minorEastAsia" w:hAnsiTheme="minorEastAsia" w:cstheme="minorEastAsia"/>
                <w:kern w:val="0"/>
                <w:sz w:val="24"/>
                <w:szCs w:val="24"/>
              </w:rPr>
              <w:t>1</w:t>
            </w:r>
            <w:r>
              <w:rPr>
                <w:rFonts w:hint="default" w:asciiTheme="minorEastAsia" w:hAnsiTheme="minorEastAsia" w:cstheme="minorEastAsia"/>
                <w:kern w:val="0"/>
                <w:sz w:val="24"/>
                <w:szCs w:val="24"/>
              </w:rPr>
              <w:t>3</w:t>
            </w:r>
            <w:r>
              <w:rPr>
                <w:rFonts w:hint="eastAsia" w:asciiTheme="minorEastAsia" w:hAnsiTheme="minorEastAsia" w:cstheme="minorEastAsia"/>
                <w:kern w:val="0"/>
                <w:sz w:val="24"/>
                <w:szCs w:val="24"/>
              </w:rPr>
              <w:t>.服务：五年免费整机硬件保修，原厂工程师上门服务</w:t>
            </w:r>
            <w:r>
              <w:rPr>
                <w:rFonts w:hint="eastAsia" w:asciiTheme="minorEastAsia" w:hAnsiTheme="minorEastAsia" w:cstheme="minorEastAsia"/>
                <w:kern w:val="0"/>
                <w:sz w:val="24"/>
                <w:szCs w:val="24"/>
                <w:lang w:eastAsia="zh-CN"/>
              </w:rPr>
              <w:t>。</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海康 大华</w:t>
            </w:r>
          </w:p>
        </w:tc>
      </w:tr>
      <w:tr>
        <w:tblPrEx>
          <w:tblCellMar>
            <w:top w:w="0" w:type="dxa"/>
            <w:left w:w="0" w:type="dxa"/>
            <w:bottom w:w="0" w:type="dxa"/>
            <w:right w:w="0" w:type="dxa"/>
          </w:tblCellMar>
        </w:tblPrEx>
        <w:trPr>
          <w:trHeight w:val="5738"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65寸电视机</w:t>
            </w:r>
          </w:p>
        </w:tc>
        <w:tc>
          <w:tcPr>
            <w:tcW w:w="36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1、★LED液晶智能电视，操作系统安卓9.0 /64位电视系统</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2、屏幕尺寸：65寸</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3、屏幕比例：16:9</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4、★分辨率：3840*2160</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5、★能效等级：二级</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6、★CPU：A53*4核64位</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7、★GPU：G52*2</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8、★内存：2+16G</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9、★音效模式：具备杜比DD+解码</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10、★伴音功率：8W*2</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11、★支持蓝牙遥控</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12、★产品功耗：75W、待机功率：≤0.3W</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13、响应时间：6.5ms</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14、★支持壁挂和底座安装，电源线插头要求90°弯头，方便贴墙安装。</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15、网络功能支持：有线/WIFI</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16、★支持DTMB模式数字电视、支持DVBC清流解码</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17、★机身输入端口：HDMI 接口：2个、支持CEC及ARC；USB2.0*2路；网络接口：1路； AV输入：1组；数字RF接口支持； 模拟RF支持；内置WIFI支持。</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18、★机身输出端口：红外转发IR-OUT*1、同轴*1</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19、★使用要求：要求无限制安装APK程序，支持用户自行更换开机画面/视频，U盘克隆功能。支持对每台设备通过网络远程分屏发布图片及视频。</w:t>
            </w:r>
          </w:p>
          <w:p>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包含</w:t>
            </w:r>
            <w:r>
              <w:rPr>
                <w:rFonts w:hint="eastAsia" w:ascii="宋体" w:hAnsi="宋体" w:eastAsia="宋体" w:cs="宋体"/>
                <w:color w:val="000000"/>
                <w:kern w:val="0"/>
                <w:sz w:val="24"/>
                <w:szCs w:val="24"/>
                <w:lang w:val="en-US" w:eastAsia="zh-CN"/>
              </w:rPr>
              <w:t>挂式支架</w:t>
            </w:r>
          </w:p>
          <w:p>
            <w:pPr>
              <w:widowControl/>
              <w:jc w:val="left"/>
              <w:textAlignment w:val="center"/>
              <w:rPr>
                <w:rFonts w:hint="default" w:ascii="宋体" w:hAnsi="宋体" w:eastAsia="宋体" w:cs="宋体"/>
                <w:color w:val="000000"/>
                <w:kern w:val="0"/>
                <w:sz w:val="24"/>
                <w:szCs w:val="24"/>
                <w:lang w:val="en-US" w:eastAsia="zh-CN"/>
              </w:rPr>
            </w:pP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★商务要求：</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需提供3C、检测报告、节能认证证书、环境标识证书、杜比解码证书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2、投标产品制造商需具备：信息安全管理体系认证文件、CMMI5级认证证书；</w:t>
            </w:r>
          </w:p>
          <w:p>
            <w:pPr>
              <w:widowControl/>
              <w:jc w:val="left"/>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3、安装地点临安校区</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长虹/创维/TC</w:t>
            </w:r>
            <w:r>
              <w:rPr>
                <w:rFonts w:hint="eastAsia" w:ascii="宋体" w:hAnsi="宋体" w:eastAsia="宋体" w:cs="宋体"/>
                <w:color w:val="000000"/>
                <w:kern w:val="0"/>
                <w:sz w:val="24"/>
                <w:szCs w:val="24"/>
                <w:lang w:val="en-US" w:eastAsia="zh-CN"/>
              </w:rPr>
              <w:t>L</w:t>
            </w:r>
          </w:p>
        </w:tc>
      </w:tr>
      <w:tr>
        <w:tblPrEx>
          <w:tblCellMar>
            <w:top w:w="0" w:type="dxa"/>
            <w:left w:w="0" w:type="dxa"/>
            <w:bottom w:w="0" w:type="dxa"/>
            <w:right w:w="0" w:type="dxa"/>
          </w:tblCellMar>
        </w:tblPrEx>
        <w:trPr>
          <w:trHeight w:val="3633"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工程投影机</w:t>
            </w:r>
          </w:p>
        </w:tc>
        <w:tc>
          <w:tcPr>
            <w:tcW w:w="36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产品类型 工程投影机</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投影技术 3LCD</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显示芯片 0.63英寸芯片</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亮度 5500流明</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对比度 15000:1</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标准分辨率 XGA（1024*768）</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扫描频率 水平：15-92kHz</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垂直：50-85Hz</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光源类型 超高压汞灯</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光源功率 300W</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光源寿命 正常模式：5000小时，经济模式：10000小时</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变焦方式 手动变焦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聚焦方式 手动聚焦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变焦比 1.6X</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光圈范围 F=1.51-1.99</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实际焦距 f=18.2-29.2mm</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投射比 1.38：1(变焦：广角)</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2.24：1(变焦：长焦)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投影距离 0.83-8.54m（变焦：广角）</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1.36-13.86m（变焦：长焦）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投影尺寸 30-300英寸</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屏幕比例 4:3</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色彩数目 10.7亿色</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梯形校正 水平：±30度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垂直：±30度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投影方式 正投，背投，吊顶</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无线功能 WIFI</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扬声器 16W</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其它系统参数 智能设备投影，网络4画面投影，网络监控：支持(仅Windows)</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输入接口 2×HDMI（HDMI 1 兼容 MHL）</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1×RJ45</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1×视频输入：RCA</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2×音频输入：RCA（白 x1，红 x1）</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2×视频输入：D-sub 15针</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2×音频输入：迷你立体声</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输出接口 1×视频输出：D-sub 15针（ 与计算机2接口兼容，仅输出Computer1信号）</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1×音频输出：迷你立体声</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控制接口 1×USB A型</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1×RS-232C（D-sub 9针）</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1×USB B型</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规格参数</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产品噪音 经济模式：29dB</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电源功率 正常模式：405W，经济模式：323W，待机功率：0.31W</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电源性能 AC100-240V，50/60Hz，4.3-1.9A</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产品尺寸 不含撑脚 377×101×291mm</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产品重量 4.4kg</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适用环境 工作温度：5-40℃（海拔2286m以下），5-35℃（海拔2286m以上）</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工作湿度：20%-80%</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存储温度：-10-60℃</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存储湿度：10%-90%</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其它参数 开关机功能：开机时间大约8秒，预热时间30秒，冷却时间即时关机，开机LOGO自定义，自动监测信号源开机</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技术功能：快速四角调节，Home Screen，演示手势，高海拔模式，自动信号源搜索，日程管理，聚焦帮助，Screen Fit，双画面并列投影，操作高度（0-2000米，1500米以上）</w:t>
            </w:r>
            <w:r>
              <w:rPr>
                <w:rFonts w:hint="eastAsia" w:ascii="宋体" w:hAnsi="宋体" w:eastAsia="宋体" w:cs="宋体"/>
                <w:color w:val="000000"/>
                <w:kern w:val="0"/>
                <w:sz w:val="24"/>
                <w:szCs w:val="24"/>
                <w:lang w:val="en-US" w:eastAsia="zh-CN"/>
              </w:rPr>
              <w:t>签合同前</w:t>
            </w:r>
            <w:r>
              <w:rPr>
                <w:rFonts w:hint="eastAsia" w:ascii="宋体" w:hAnsi="宋体" w:eastAsia="宋体" w:cs="宋体"/>
                <w:color w:val="000000"/>
                <w:kern w:val="0"/>
                <w:sz w:val="24"/>
                <w:szCs w:val="24"/>
              </w:rPr>
              <w:t>提供厂家供货证明函和售后服务承诺函。</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爱普生 </w:t>
            </w:r>
            <w:r>
              <w:rPr>
                <w:rFonts w:hint="eastAsia" w:ascii="宋体" w:hAnsi="宋体" w:eastAsia="宋体" w:cs="宋体"/>
                <w:color w:val="000000"/>
                <w:kern w:val="0"/>
                <w:sz w:val="24"/>
                <w:szCs w:val="24"/>
                <w:lang w:val="en-US" w:eastAsia="zh-CN"/>
              </w:rPr>
              <w:t>索尼 NEC</w:t>
            </w:r>
          </w:p>
        </w:tc>
      </w:tr>
    </w:tbl>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4、</w:t>
      </w:r>
      <w:r>
        <w:rPr>
          <w:rFonts w:hint="eastAsia" w:asciiTheme="minorEastAsia" w:hAnsiTheme="minorEastAsia"/>
          <w:sz w:val="28"/>
          <w:szCs w:val="28"/>
        </w:rPr>
        <w:t>项目实施与集成要求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rPr>
        <w:t>（1）项目工期要求：</w:t>
      </w:r>
      <w:r>
        <w:rPr>
          <w:rFonts w:hint="default" w:asciiTheme="minorEastAsia" w:hAnsiTheme="minorEastAsia"/>
          <w:color w:val="auto"/>
          <w:sz w:val="24"/>
          <w:szCs w:val="24"/>
        </w:rPr>
        <w:t>中标方</w:t>
      </w:r>
      <w:r>
        <w:rPr>
          <w:rFonts w:hint="eastAsia" w:asciiTheme="minorEastAsia" w:hAnsiTheme="minorEastAsia"/>
          <w:color w:val="auto"/>
          <w:sz w:val="24"/>
          <w:szCs w:val="24"/>
          <w:lang w:val="en-US" w:eastAsia="zh-CN"/>
        </w:rPr>
        <w:t>应于2022年6月25日前将所供商品按时、安全运至</w:t>
      </w:r>
      <w:r>
        <w:rPr>
          <w:rFonts w:hint="default" w:asciiTheme="minorEastAsia" w:hAnsiTheme="minorEastAsia"/>
          <w:color w:val="auto"/>
          <w:sz w:val="24"/>
          <w:szCs w:val="24"/>
          <w:lang w:eastAsia="zh-CN"/>
        </w:rPr>
        <w:t>采购人</w:t>
      </w:r>
      <w:r>
        <w:rPr>
          <w:rFonts w:hint="eastAsia" w:asciiTheme="minorEastAsia" w:hAnsiTheme="minorEastAsia"/>
          <w:color w:val="auto"/>
          <w:sz w:val="24"/>
          <w:szCs w:val="24"/>
          <w:lang w:val="en-US" w:eastAsia="zh-CN"/>
        </w:rPr>
        <w:t>指定地点，2022年8月15日</w:t>
      </w:r>
      <w:r>
        <w:rPr>
          <w:rFonts w:hint="default" w:asciiTheme="minorEastAsia" w:hAnsiTheme="minorEastAsia"/>
          <w:color w:val="auto"/>
          <w:sz w:val="24"/>
          <w:szCs w:val="24"/>
          <w:lang w:eastAsia="zh-CN"/>
        </w:rPr>
        <w:t>前</w:t>
      </w:r>
      <w:r>
        <w:rPr>
          <w:rFonts w:hint="eastAsia" w:asciiTheme="minorEastAsia" w:hAnsiTheme="minorEastAsia"/>
          <w:color w:val="auto"/>
          <w:sz w:val="24"/>
          <w:szCs w:val="24"/>
          <w:lang w:val="en-US" w:eastAsia="zh-CN"/>
        </w:rPr>
        <w:t>完成安装、调试并通过验收。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2</w:t>
      </w:r>
      <w:r>
        <w:rPr>
          <w:rFonts w:hint="eastAsia" w:asciiTheme="minorEastAsia" w:hAnsiTheme="minorEastAsia"/>
          <w:sz w:val="24"/>
          <w:szCs w:val="24"/>
        </w:rPr>
        <w:t>）中标方对本项目的报价应包含所有的安装调试集成费用。</w:t>
      </w:r>
    </w:p>
    <w:p>
      <w:pPr>
        <w:spacing w:line="360" w:lineRule="auto"/>
        <w:ind w:firstLine="480" w:firstLineChars="200"/>
        <w:rPr>
          <w:rFonts w:asciiTheme="minorEastAsia" w:hAnsiTheme="minorEastAsia"/>
          <w:sz w:val="24"/>
          <w:szCs w:val="24"/>
        </w:rPr>
      </w:pPr>
      <w:bookmarkStart w:id="0" w:name="_Toc510015586"/>
      <w:bookmarkStart w:id="1" w:name="_Toc525644487"/>
      <w:r>
        <w:rPr>
          <w:rFonts w:hint="eastAsia" w:asciiTheme="minorEastAsia" w:hAnsiTheme="minorEastAsia"/>
          <w:sz w:val="24"/>
          <w:szCs w:val="24"/>
        </w:rPr>
        <w:t>投标人应派遣技术人员组成工作小组到采购人指定的现场实施技术服务，包括软、硬件安装、调试和调优服务、版本更新、现场培训等服务。软、硬件安装、调试的主要目标是使产品能够在用户指定的环境中正常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投标人在安装软、硬件之前，应先对用户的相关人员进行现场培训，并在用户相关技术人员的监督下进行安装、调试和集成。投标人不得在现场安装未经用户批准的其他任何产品。</w:t>
      </w: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5、</w:t>
      </w:r>
      <w:r>
        <w:rPr>
          <w:rFonts w:hint="eastAsia" w:asciiTheme="minorEastAsia" w:hAnsiTheme="minorEastAsia"/>
          <w:sz w:val="28"/>
          <w:szCs w:val="28"/>
        </w:rPr>
        <w:t>项目成果提交</w:t>
      </w:r>
      <w:bookmarkEnd w:id="0"/>
      <w:bookmarkEnd w:id="1"/>
    </w:p>
    <w:p>
      <w:pPr>
        <w:pStyle w:val="3"/>
        <w:spacing w:before="0" w:after="0" w:line="360" w:lineRule="auto"/>
        <w:ind w:firstLine="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.1硬件设备验收材料列表（由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rPr>
        <w:t>协调、组织、提供）。</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1）接货单。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2）设备关键参数（技术）设置说明文档。</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3）原厂说明书。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4）试运行记录表。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5）设备标签。（用于标识设备承载功能、IP、采购年份、管理人等相关信息，粘贴在设备可见位置。）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（2）验收形式：现场清点、资料查看、现场质询。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（3）验收结果标志物：专家验收意见书。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投标人在项目验收时向用户随产品交付完整的技术文档，提交的技术文档的内容必须与所提供的产品相一致，并应尽可能详细。</w:t>
      </w: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6、</w:t>
      </w:r>
      <w:r>
        <w:rPr>
          <w:rFonts w:hint="eastAsia" w:asciiTheme="minorEastAsia" w:hAnsiTheme="minorEastAsia"/>
          <w:sz w:val="28"/>
          <w:szCs w:val="28"/>
        </w:rPr>
        <w:t>项目验收及付款</w:t>
      </w:r>
    </w:p>
    <w:p>
      <w:pPr>
        <w:pStyle w:val="3"/>
        <w:spacing w:before="0" w:after="0" w:line="360" w:lineRule="auto"/>
        <w:ind w:firstLine="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.1系统初验与试运行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软、硬件到货验收、安装、并调试完成后，经过用户的认可后，由用户组织初验。软、硬件安装调试完成并通过初步验收后，投入试运行，在试运行期间，投标人应使任何故障或问题都能在收到故障通知后尽快（节、假日也不例外）被修复和解决，并给出详细修复细节报告，所有试运行期间软件的修改和变化都应在试运行结束后提供书面和电子文档。试运行期到后1个月内可进行终验。 </w:t>
      </w:r>
    </w:p>
    <w:p>
      <w:pPr>
        <w:pStyle w:val="3"/>
        <w:spacing w:before="0" w:after="0" w:line="360" w:lineRule="auto"/>
        <w:ind w:firstLine="200"/>
        <w:rPr>
          <w:rFonts w:asciiTheme="minorEastAsia" w:hAnsiTheme="minorEastAsia" w:eastAsiaTheme="minorEastAsia"/>
          <w:sz w:val="24"/>
          <w:szCs w:val="24"/>
        </w:rPr>
      </w:pPr>
      <w:bookmarkStart w:id="2" w:name="_Toc510015591"/>
      <w:bookmarkStart w:id="3" w:name="_Toc225929901"/>
      <w:bookmarkStart w:id="4" w:name="_Toc525644492"/>
      <w:bookmarkStart w:id="5" w:name="_Toc229194178"/>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.2系统最终验收</w:t>
      </w:r>
      <w:bookmarkEnd w:id="2"/>
      <w:bookmarkEnd w:id="3"/>
      <w:bookmarkEnd w:id="4"/>
      <w:bookmarkEnd w:id="5"/>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最终验收合格的条件必须至少满足：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 已提供了本项目的全部产品和资料；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 试运行时间满足项目要求；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 试运行时出现的问题已被解决。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验收形式：产品使用单位（处室）出具正式《使用报告》，组织专家组评审，出具《专家验收意见》。</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终验结束后，进入技术支持服务期，技术支持免费服务期为最终验通过后5年时间。</w:t>
      </w:r>
    </w:p>
    <w:p>
      <w:pPr>
        <w:pStyle w:val="2"/>
        <w:numPr>
          <w:ilvl w:val="0"/>
          <w:numId w:val="0"/>
        </w:numPr>
        <w:spacing w:before="0" w:after="0" w:line="360" w:lineRule="auto"/>
        <w:ind w:leftChars="0"/>
        <w:rPr>
          <w:rFonts w:asciiTheme="minorEastAsia" w:hAnsiTheme="minorEastAsia"/>
          <w:sz w:val="28"/>
          <w:szCs w:val="28"/>
        </w:rPr>
      </w:pPr>
      <w:bookmarkStart w:id="6" w:name="_Toc225929903"/>
      <w:bookmarkStart w:id="7" w:name="_Toc510015592"/>
      <w:bookmarkStart w:id="8" w:name="_Toc525644493"/>
      <w:bookmarkStart w:id="9" w:name="_Toc229194180"/>
      <w:r>
        <w:rPr>
          <w:rFonts w:hint="eastAsia" w:asciiTheme="minorEastAsia" w:hAnsiTheme="minorEastAsia"/>
          <w:sz w:val="28"/>
          <w:szCs w:val="28"/>
          <w:lang w:val="en-US" w:eastAsia="zh-CN"/>
        </w:rPr>
        <w:t>7、</w:t>
      </w:r>
      <w:r>
        <w:rPr>
          <w:rFonts w:hint="eastAsia" w:asciiTheme="minorEastAsia" w:hAnsiTheme="minorEastAsia"/>
          <w:sz w:val="28"/>
          <w:szCs w:val="28"/>
        </w:rPr>
        <w:t>技术支持服务要求</w:t>
      </w:r>
      <w:bookmarkEnd w:id="6"/>
      <w:bookmarkEnd w:id="7"/>
      <w:bookmarkEnd w:id="8"/>
      <w:bookmarkEnd w:id="9"/>
    </w:p>
    <w:p>
      <w:pPr>
        <w:pStyle w:val="3"/>
        <w:spacing w:before="0" w:after="0" w:line="360" w:lineRule="auto"/>
        <w:ind w:firstLine="200"/>
        <w:rPr>
          <w:rFonts w:asciiTheme="minorEastAsia" w:hAnsiTheme="minorEastAsia" w:eastAsiaTheme="minorEastAsia"/>
          <w:sz w:val="24"/>
          <w:szCs w:val="24"/>
        </w:rPr>
      </w:pPr>
      <w:bookmarkStart w:id="10" w:name="_Toc525644494"/>
      <w:bookmarkStart w:id="11" w:name="_Toc510015593"/>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.1维护服务</w:t>
      </w:r>
      <w:bookmarkEnd w:id="10"/>
      <w:bookmarkEnd w:id="11"/>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投标人应协助用户完成日常系统及应用的维护工作，保证系统的正常运行。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应提供7*24小时互联网/电话技术支持、5*8小时及7*24小时(对业务的正常运行造成重大影响的问题，如系统崩溃、无法启动、拒绝连接等)远程维护支持；对用户提出的预防性维护要求应在2小时内做出实质性响应，及时解决设备运行中的问题。对用户提出的故障性维护要求应在半小时内做出实质性响应，及时解决设备运行中的问题。（或在用户要求的期限内及时解决设备运行中的问题。否则，由此而带来的损失，由投标人承担相应责任。） 若无法在用户要求的期限内及时解决设备运行中的问题，需提供备用设备保证不影响学校正常使用。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设备运行过程中如果出现技术故障（如服务中断、数据丢失、主要功能不能正常工作等）或与其他产品发生冲突，投标人应保证提供6小时内解决此类问题的紧急预案方案，以恢复故障，使设备得以正常运行。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设备或系统运行过程中如果发生故障，投标人需启动公司的多层技术资源支持，帮助客户排查问题，直到问题最终获得妥善处理。对于客户设备或系统的重要问题，投标人至少每天汇报一次问题解决情况。在整个系统设计没有单点故障的情况下，故障恢复期间应确保设备或系统不中断。</w:t>
      </w:r>
    </w:p>
    <w:p>
      <w:pPr>
        <w:pStyle w:val="3"/>
        <w:spacing w:before="0" w:after="0" w:line="360" w:lineRule="auto"/>
        <w:ind w:firstLine="200"/>
        <w:rPr>
          <w:rFonts w:asciiTheme="minorEastAsia" w:hAnsiTheme="minorEastAsia" w:eastAsiaTheme="minorEastAsia"/>
          <w:sz w:val="24"/>
          <w:szCs w:val="24"/>
        </w:rPr>
      </w:pPr>
      <w:bookmarkStart w:id="12" w:name="_Toc510015594"/>
      <w:bookmarkStart w:id="13" w:name="_Toc525644495"/>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.2现场技术支持服务</w:t>
      </w:r>
      <w:bookmarkEnd w:id="12"/>
      <w:bookmarkEnd w:id="13"/>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投标人服务人员应在收到用户故障通知并经用户方负责人批准后2小时内赶到现场，并同时提供远程服务。现场技术支持服务结束时须填写现场服务报告，相关负责人签字。</w:t>
      </w:r>
    </w:p>
    <w:p>
      <w:pPr>
        <w:pStyle w:val="3"/>
        <w:spacing w:before="0" w:after="0" w:line="360" w:lineRule="auto"/>
        <w:ind w:firstLine="200"/>
        <w:rPr>
          <w:rFonts w:asciiTheme="minorEastAsia" w:hAnsiTheme="minorEastAsia" w:eastAsiaTheme="minorEastAsia"/>
          <w:sz w:val="24"/>
          <w:szCs w:val="24"/>
        </w:rPr>
      </w:pPr>
      <w:bookmarkStart w:id="14" w:name="_Toc510015596"/>
      <w:bookmarkStart w:id="15" w:name="_Toc525644497"/>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培训要求</w:t>
      </w:r>
      <w:bookmarkEnd w:id="14"/>
      <w:bookmarkEnd w:id="15"/>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投标人应向用户管理人员、技术人员等提供相关培训，保证用户能够进行软、硬件的运行管理、操作、维护，故障分析处理等工作。具体要求如下：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培训对象：用户（使用人员、管理人员、开发人员）及与本项目有关的其他人员；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培训日期及方式：由用户商定，时间以学会为标准。</w:t>
      </w:r>
    </w:p>
    <w:p>
      <w:pPr>
        <w:pStyle w:val="18"/>
        <w:rPr>
          <w:rFonts w:hint="default" w:asciiTheme="minorEastAsia" w:hAnsiTheme="minorEastAsia"/>
          <w:szCs w:val="24"/>
        </w:rPr>
      </w:pPr>
      <w:r>
        <w:rPr>
          <w:rFonts w:hint="eastAsia" w:asciiTheme="minorEastAsia" w:hAnsiTheme="minorEastAsia"/>
          <w:szCs w:val="24"/>
        </w:rPr>
        <w:t>投标人应将培训相关费用计入投标总价</w:t>
      </w:r>
      <w:r>
        <w:rPr>
          <w:rFonts w:hint="default" w:asciiTheme="minorEastAsia" w:hAnsiTheme="minorEastAsia"/>
          <w:szCs w:val="24"/>
        </w:rPr>
        <w:t>。</w:t>
      </w:r>
    </w:p>
    <w:p>
      <w:pPr>
        <w:pStyle w:val="3"/>
        <w:rPr>
          <w:rFonts w:asciiTheme="minorEastAsia" w:hAnsiTheme="minorEastAsia" w:eastAsiaTheme="minorEastAsia"/>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A1"/>
    <w:rsid w:val="00003AE1"/>
    <w:rsid w:val="000142F5"/>
    <w:rsid w:val="0002244A"/>
    <w:rsid w:val="0004263D"/>
    <w:rsid w:val="00060BF9"/>
    <w:rsid w:val="00061BB2"/>
    <w:rsid w:val="000905F2"/>
    <w:rsid w:val="000C072E"/>
    <w:rsid w:val="000C5E9F"/>
    <w:rsid w:val="00105FB9"/>
    <w:rsid w:val="0011258E"/>
    <w:rsid w:val="0012303F"/>
    <w:rsid w:val="001237DE"/>
    <w:rsid w:val="0014631D"/>
    <w:rsid w:val="00155202"/>
    <w:rsid w:val="00157409"/>
    <w:rsid w:val="00163456"/>
    <w:rsid w:val="00165730"/>
    <w:rsid w:val="00192BE2"/>
    <w:rsid w:val="001C51F7"/>
    <w:rsid w:val="001C5815"/>
    <w:rsid w:val="001E1F3B"/>
    <w:rsid w:val="001E558B"/>
    <w:rsid w:val="001F3097"/>
    <w:rsid w:val="001F7F02"/>
    <w:rsid w:val="00202459"/>
    <w:rsid w:val="00216148"/>
    <w:rsid w:val="00253095"/>
    <w:rsid w:val="002532FE"/>
    <w:rsid w:val="002555C4"/>
    <w:rsid w:val="0026323E"/>
    <w:rsid w:val="00265314"/>
    <w:rsid w:val="00272915"/>
    <w:rsid w:val="0029166E"/>
    <w:rsid w:val="002975B9"/>
    <w:rsid w:val="002A2B00"/>
    <w:rsid w:val="002B3757"/>
    <w:rsid w:val="002C0E8D"/>
    <w:rsid w:val="002C3F09"/>
    <w:rsid w:val="002D07F2"/>
    <w:rsid w:val="002D7046"/>
    <w:rsid w:val="00310A04"/>
    <w:rsid w:val="00311BC0"/>
    <w:rsid w:val="00321B41"/>
    <w:rsid w:val="0034265B"/>
    <w:rsid w:val="00345C56"/>
    <w:rsid w:val="00346205"/>
    <w:rsid w:val="00351DEF"/>
    <w:rsid w:val="00351FAA"/>
    <w:rsid w:val="003969D5"/>
    <w:rsid w:val="00397097"/>
    <w:rsid w:val="003A234C"/>
    <w:rsid w:val="003C6853"/>
    <w:rsid w:val="003C6D9E"/>
    <w:rsid w:val="0042408B"/>
    <w:rsid w:val="004566CD"/>
    <w:rsid w:val="00460D83"/>
    <w:rsid w:val="00470850"/>
    <w:rsid w:val="0048376D"/>
    <w:rsid w:val="004A4163"/>
    <w:rsid w:val="004B0B9E"/>
    <w:rsid w:val="004B2533"/>
    <w:rsid w:val="004B3542"/>
    <w:rsid w:val="004B35DC"/>
    <w:rsid w:val="004C21A9"/>
    <w:rsid w:val="004C3F12"/>
    <w:rsid w:val="004C6E92"/>
    <w:rsid w:val="004D4385"/>
    <w:rsid w:val="004E267D"/>
    <w:rsid w:val="004E587B"/>
    <w:rsid w:val="00502D76"/>
    <w:rsid w:val="00510F1C"/>
    <w:rsid w:val="00515C3E"/>
    <w:rsid w:val="0052584C"/>
    <w:rsid w:val="00534B0C"/>
    <w:rsid w:val="00535D62"/>
    <w:rsid w:val="00553AFC"/>
    <w:rsid w:val="0055608B"/>
    <w:rsid w:val="005648B3"/>
    <w:rsid w:val="00580ABC"/>
    <w:rsid w:val="0059076C"/>
    <w:rsid w:val="00590FEC"/>
    <w:rsid w:val="005930CA"/>
    <w:rsid w:val="005A3206"/>
    <w:rsid w:val="005A4440"/>
    <w:rsid w:val="005D7AA4"/>
    <w:rsid w:val="005E5F2E"/>
    <w:rsid w:val="005F5D52"/>
    <w:rsid w:val="00603188"/>
    <w:rsid w:val="006156FA"/>
    <w:rsid w:val="00616416"/>
    <w:rsid w:val="006177E9"/>
    <w:rsid w:val="00631A7B"/>
    <w:rsid w:val="0064089B"/>
    <w:rsid w:val="0066089D"/>
    <w:rsid w:val="00661F55"/>
    <w:rsid w:val="0067263F"/>
    <w:rsid w:val="00683DA1"/>
    <w:rsid w:val="006850F9"/>
    <w:rsid w:val="006919A9"/>
    <w:rsid w:val="006C2ADC"/>
    <w:rsid w:val="006C5A3F"/>
    <w:rsid w:val="006E3565"/>
    <w:rsid w:val="006E4C1A"/>
    <w:rsid w:val="006F2C55"/>
    <w:rsid w:val="007019FC"/>
    <w:rsid w:val="0071738B"/>
    <w:rsid w:val="00717AF1"/>
    <w:rsid w:val="00725332"/>
    <w:rsid w:val="0072617C"/>
    <w:rsid w:val="00733F66"/>
    <w:rsid w:val="00734285"/>
    <w:rsid w:val="00740357"/>
    <w:rsid w:val="00756E09"/>
    <w:rsid w:val="0077277B"/>
    <w:rsid w:val="007728DD"/>
    <w:rsid w:val="0077364C"/>
    <w:rsid w:val="0078140A"/>
    <w:rsid w:val="00781521"/>
    <w:rsid w:val="0078683C"/>
    <w:rsid w:val="00795116"/>
    <w:rsid w:val="007B1E0C"/>
    <w:rsid w:val="007C0DEC"/>
    <w:rsid w:val="00800D03"/>
    <w:rsid w:val="008026C9"/>
    <w:rsid w:val="0080453F"/>
    <w:rsid w:val="00811F61"/>
    <w:rsid w:val="00816A21"/>
    <w:rsid w:val="008210CC"/>
    <w:rsid w:val="00826F7F"/>
    <w:rsid w:val="00827D4E"/>
    <w:rsid w:val="0083056B"/>
    <w:rsid w:val="00833195"/>
    <w:rsid w:val="00845A44"/>
    <w:rsid w:val="008754E8"/>
    <w:rsid w:val="00881F93"/>
    <w:rsid w:val="0088289A"/>
    <w:rsid w:val="008926F9"/>
    <w:rsid w:val="008A0983"/>
    <w:rsid w:val="008B1E8E"/>
    <w:rsid w:val="008F339B"/>
    <w:rsid w:val="008F5304"/>
    <w:rsid w:val="00900867"/>
    <w:rsid w:val="00900AA7"/>
    <w:rsid w:val="0091514A"/>
    <w:rsid w:val="009374D0"/>
    <w:rsid w:val="00963223"/>
    <w:rsid w:val="0096684A"/>
    <w:rsid w:val="0097671C"/>
    <w:rsid w:val="00986144"/>
    <w:rsid w:val="009B047F"/>
    <w:rsid w:val="009B20EE"/>
    <w:rsid w:val="009B6DB2"/>
    <w:rsid w:val="009D0B9A"/>
    <w:rsid w:val="009E387B"/>
    <w:rsid w:val="009F3E35"/>
    <w:rsid w:val="009F74A4"/>
    <w:rsid w:val="00A17C78"/>
    <w:rsid w:val="00A265BF"/>
    <w:rsid w:val="00A50009"/>
    <w:rsid w:val="00A530A2"/>
    <w:rsid w:val="00A545A9"/>
    <w:rsid w:val="00A61AC6"/>
    <w:rsid w:val="00A6360C"/>
    <w:rsid w:val="00AA44C9"/>
    <w:rsid w:val="00AA5668"/>
    <w:rsid w:val="00AB3744"/>
    <w:rsid w:val="00AB3B3F"/>
    <w:rsid w:val="00AD38E4"/>
    <w:rsid w:val="00AD40E7"/>
    <w:rsid w:val="00AF4D2D"/>
    <w:rsid w:val="00B14C2A"/>
    <w:rsid w:val="00B170C6"/>
    <w:rsid w:val="00B20DC1"/>
    <w:rsid w:val="00B24AB8"/>
    <w:rsid w:val="00B33FC7"/>
    <w:rsid w:val="00B64C48"/>
    <w:rsid w:val="00BE2CC1"/>
    <w:rsid w:val="00BE3720"/>
    <w:rsid w:val="00BF2E2F"/>
    <w:rsid w:val="00C01FAB"/>
    <w:rsid w:val="00C33844"/>
    <w:rsid w:val="00C4296C"/>
    <w:rsid w:val="00C55F65"/>
    <w:rsid w:val="00C605F6"/>
    <w:rsid w:val="00C67382"/>
    <w:rsid w:val="00C70355"/>
    <w:rsid w:val="00C74318"/>
    <w:rsid w:val="00C75725"/>
    <w:rsid w:val="00C85704"/>
    <w:rsid w:val="00C918A2"/>
    <w:rsid w:val="00CB2C57"/>
    <w:rsid w:val="00CC49BC"/>
    <w:rsid w:val="00CD69A7"/>
    <w:rsid w:val="00CD7E00"/>
    <w:rsid w:val="00CF76DF"/>
    <w:rsid w:val="00D114E0"/>
    <w:rsid w:val="00D134A1"/>
    <w:rsid w:val="00D227DC"/>
    <w:rsid w:val="00D33DB8"/>
    <w:rsid w:val="00D43AD9"/>
    <w:rsid w:val="00D77E36"/>
    <w:rsid w:val="00D8057D"/>
    <w:rsid w:val="00D837C6"/>
    <w:rsid w:val="00DE18D5"/>
    <w:rsid w:val="00DE5091"/>
    <w:rsid w:val="00DE51F8"/>
    <w:rsid w:val="00DF2EC9"/>
    <w:rsid w:val="00DF3D17"/>
    <w:rsid w:val="00DF43B1"/>
    <w:rsid w:val="00E13D6F"/>
    <w:rsid w:val="00E20B4F"/>
    <w:rsid w:val="00E23A9E"/>
    <w:rsid w:val="00E31115"/>
    <w:rsid w:val="00E334E3"/>
    <w:rsid w:val="00E36CAC"/>
    <w:rsid w:val="00E6036A"/>
    <w:rsid w:val="00E84807"/>
    <w:rsid w:val="00E85832"/>
    <w:rsid w:val="00E86436"/>
    <w:rsid w:val="00E908BB"/>
    <w:rsid w:val="00E93F07"/>
    <w:rsid w:val="00E958E4"/>
    <w:rsid w:val="00EA2617"/>
    <w:rsid w:val="00EC48C4"/>
    <w:rsid w:val="00EE6444"/>
    <w:rsid w:val="00EE6DA6"/>
    <w:rsid w:val="00F002A6"/>
    <w:rsid w:val="00F01AC2"/>
    <w:rsid w:val="00F06E75"/>
    <w:rsid w:val="00F12CF2"/>
    <w:rsid w:val="00F256B0"/>
    <w:rsid w:val="00F331C3"/>
    <w:rsid w:val="00F375B9"/>
    <w:rsid w:val="00F41818"/>
    <w:rsid w:val="00F44B13"/>
    <w:rsid w:val="00F50355"/>
    <w:rsid w:val="00F514F9"/>
    <w:rsid w:val="00F610BB"/>
    <w:rsid w:val="00F80792"/>
    <w:rsid w:val="00F83214"/>
    <w:rsid w:val="00FA07C9"/>
    <w:rsid w:val="00FA4EEE"/>
    <w:rsid w:val="00FA6C85"/>
    <w:rsid w:val="00FB385F"/>
    <w:rsid w:val="00FC3A4C"/>
    <w:rsid w:val="00FD5555"/>
    <w:rsid w:val="00FF335F"/>
    <w:rsid w:val="00FF4E16"/>
    <w:rsid w:val="016609DC"/>
    <w:rsid w:val="02EC5FC2"/>
    <w:rsid w:val="030B4515"/>
    <w:rsid w:val="043F71BB"/>
    <w:rsid w:val="04A71551"/>
    <w:rsid w:val="0550221F"/>
    <w:rsid w:val="05922FA0"/>
    <w:rsid w:val="059A647C"/>
    <w:rsid w:val="05BC25A0"/>
    <w:rsid w:val="05C17F22"/>
    <w:rsid w:val="06B867FC"/>
    <w:rsid w:val="084A685F"/>
    <w:rsid w:val="08E32871"/>
    <w:rsid w:val="0B090EA6"/>
    <w:rsid w:val="0B8F6344"/>
    <w:rsid w:val="0B977C78"/>
    <w:rsid w:val="0BA578A6"/>
    <w:rsid w:val="0D234214"/>
    <w:rsid w:val="0E1C292F"/>
    <w:rsid w:val="0E42591F"/>
    <w:rsid w:val="0ECF2B6F"/>
    <w:rsid w:val="0F7E2572"/>
    <w:rsid w:val="101B5186"/>
    <w:rsid w:val="11DD0827"/>
    <w:rsid w:val="12A80ADE"/>
    <w:rsid w:val="12C83B3B"/>
    <w:rsid w:val="13B14F39"/>
    <w:rsid w:val="14CD7AB4"/>
    <w:rsid w:val="15302C11"/>
    <w:rsid w:val="15892AD4"/>
    <w:rsid w:val="16217634"/>
    <w:rsid w:val="16BA24ED"/>
    <w:rsid w:val="17CD22C4"/>
    <w:rsid w:val="18C576D2"/>
    <w:rsid w:val="198C5430"/>
    <w:rsid w:val="19D70681"/>
    <w:rsid w:val="1BB32A31"/>
    <w:rsid w:val="1C6820E5"/>
    <w:rsid w:val="1C921BA1"/>
    <w:rsid w:val="1CDF0A7F"/>
    <w:rsid w:val="1DF6602C"/>
    <w:rsid w:val="1F130856"/>
    <w:rsid w:val="1FCFFA99"/>
    <w:rsid w:val="20B46D54"/>
    <w:rsid w:val="20BF7343"/>
    <w:rsid w:val="20CE3265"/>
    <w:rsid w:val="23AC533B"/>
    <w:rsid w:val="2413100C"/>
    <w:rsid w:val="247B4ED4"/>
    <w:rsid w:val="25392EE0"/>
    <w:rsid w:val="25741931"/>
    <w:rsid w:val="25ED222B"/>
    <w:rsid w:val="27465F81"/>
    <w:rsid w:val="281C42A2"/>
    <w:rsid w:val="294422D1"/>
    <w:rsid w:val="2A5F7045"/>
    <w:rsid w:val="2AC53709"/>
    <w:rsid w:val="2AEB6B83"/>
    <w:rsid w:val="2BAE3BC8"/>
    <w:rsid w:val="2C4C1A29"/>
    <w:rsid w:val="2CFF682D"/>
    <w:rsid w:val="2DC175EB"/>
    <w:rsid w:val="2EEB3364"/>
    <w:rsid w:val="2F4C3962"/>
    <w:rsid w:val="30E63A4B"/>
    <w:rsid w:val="322A696B"/>
    <w:rsid w:val="352A3EB1"/>
    <w:rsid w:val="3710533E"/>
    <w:rsid w:val="37756F4A"/>
    <w:rsid w:val="382060CD"/>
    <w:rsid w:val="38A846EE"/>
    <w:rsid w:val="3904027C"/>
    <w:rsid w:val="3A5149D9"/>
    <w:rsid w:val="3A546121"/>
    <w:rsid w:val="3D3647D3"/>
    <w:rsid w:val="3DFC4230"/>
    <w:rsid w:val="3FA748BD"/>
    <w:rsid w:val="3FDA6973"/>
    <w:rsid w:val="40844CB8"/>
    <w:rsid w:val="44CF28C0"/>
    <w:rsid w:val="45074F56"/>
    <w:rsid w:val="454F57A2"/>
    <w:rsid w:val="45A32084"/>
    <w:rsid w:val="47FC68BF"/>
    <w:rsid w:val="48622294"/>
    <w:rsid w:val="48F549D5"/>
    <w:rsid w:val="493E4E27"/>
    <w:rsid w:val="4A2714B0"/>
    <w:rsid w:val="4B845FF9"/>
    <w:rsid w:val="4D570B5A"/>
    <w:rsid w:val="4DB77455"/>
    <w:rsid w:val="4E004EF2"/>
    <w:rsid w:val="4E3561F0"/>
    <w:rsid w:val="50EC2ABA"/>
    <w:rsid w:val="56881EF5"/>
    <w:rsid w:val="56DC1E3A"/>
    <w:rsid w:val="58BB4F68"/>
    <w:rsid w:val="5AD91187"/>
    <w:rsid w:val="5AF475C9"/>
    <w:rsid w:val="5B1E2B24"/>
    <w:rsid w:val="5B5B7F03"/>
    <w:rsid w:val="5E232FBD"/>
    <w:rsid w:val="5F944AC0"/>
    <w:rsid w:val="603A61DF"/>
    <w:rsid w:val="605E4E8F"/>
    <w:rsid w:val="619867A0"/>
    <w:rsid w:val="657F2B57"/>
    <w:rsid w:val="65F3587A"/>
    <w:rsid w:val="65F934A4"/>
    <w:rsid w:val="667F02E8"/>
    <w:rsid w:val="66BF3CEA"/>
    <w:rsid w:val="66F66888"/>
    <w:rsid w:val="68106E6C"/>
    <w:rsid w:val="68523F52"/>
    <w:rsid w:val="68574374"/>
    <w:rsid w:val="69221004"/>
    <w:rsid w:val="69680F70"/>
    <w:rsid w:val="6B054AC4"/>
    <w:rsid w:val="6BB258ED"/>
    <w:rsid w:val="6BE50451"/>
    <w:rsid w:val="6CC64DC0"/>
    <w:rsid w:val="6CE02A6C"/>
    <w:rsid w:val="72A33F54"/>
    <w:rsid w:val="72E26194"/>
    <w:rsid w:val="74380F93"/>
    <w:rsid w:val="744C7060"/>
    <w:rsid w:val="757717CF"/>
    <w:rsid w:val="75F148EF"/>
    <w:rsid w:val="7640435A"/>
    <w:rsid w:val="768F1979"/>
    <w:rsid w:val="77003384"/>
    <w:rsid w:val="77825196"/>
    <w:rsid w:val="77F674C3"/>
    <w:rsid w:val="79533002"/>
    <w:rsid w:val="7B0F4BDC"/>
    <w:rsid w:val="7BBD38D0"/>
    <w:rsid w:val="7C200750"/>
    <w:rsid w:val="7F26254C"/>
    <w:rsid w:val="AEFF196C"/>
    <w:rsid w:val="DFD95E66"/>
    <w:rsid w:val="F26FCA2F"/>
    <w:rsid w:val="FFFD6B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ody Text Indent 2"/>
    <w:basedOn w:val="1"/>
    <w:link w:val="27"/>
    <w:qFormat/>
    <w:uiPriority w:val="0"/>
    <w:pPr>
      <w:adjustRightInd w:val="0"/>
      <w:snapToGrid w:val="0"/>
      <w:spacing w:line="496" w:lineRule="exact"/>
      <w:ind w:firstLine="560" w:firstLineChars="200"/>
    </w:pPr>
    <w:rPr>
      <w:rFonts w:ascii="仿宋_GB2312" w:hAnsi="宋体" w:eastAsia="宋体" w:cs="Times New Roman"/>
      <w:snapToGrid w:val="0"/>
      <w:kern w:val="0"/>
      <w:sz w:val="28"/>
      <w:szCs w:val="24"/>
    </w:rPr>
  </w:style>
  <w:style w:type="paragraph" w:styleId="7">
    <w:name w:val="Balloon Text"/>
    <w:basedOn w:val="1"/>
    <w:link w:val="25"/>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标题 1 Char"/>
    <w:basedOn w:val="13"/>
    <w:link w:val="2"/>
    <w:qFormat/>
    <w:uiPriority w:val="9"/>
    <w:rPr>
      <w:b/>
      <w:bCs/>
      <w:kern w:val="44"/>
      <w:sz w:val="44"/>
      <w:szCs w:val="44"/>
    </w:rPr>
  </w:style>
  <w:style w:type="paragraph" w:customStyle="1" w:styleId="18">
    <w:name w:val="首行缩进"/>
    <w:basedOn w:val="1"/>
    <w:link w:val="19"/>
    <w:qFormat/>
    <w:uiPriority w:val="0"/>
    <w:pPr>
      <w:spacing w:line="360" w:lineRule="auto"/>
      <w:ind w:firstLine="480" w:firstLineChars="200"/>
    </w:pPr>
    <w:rPr>
      <w:sz w:val="24"/>
      <w:lang w:val="zh-CN"/>
    </w:rPr>
  </w:style>
  <w:style w:type="character" w:customStyle="1" w:styleId="19">
    <w:name w:val="首行缩进 Char"/>
    <w:basedOn w:val="13"/>
    <w:link w:val="18"/>
    <w:qFormat/>
    <w:uiPriority w:val="0"/>
    <w:rPr>
      <w:sz w:val="24"/>
      <w:lang w:val="zh-CN"/>
    </w:rPr>
  </w:style>
  <w:style w:type="paragraph" w:customStyle="1" w:styleId="20">
    <w:name w:val="Style 11 pt Justified First line:  0.74 cm Line spacing:  1.5 li..."/>
    <w:basedOn w:val="1"/>
    <w:qFormat/>
    <w:uiPriority w:val="0"/>
    <w:pPr>
      <w:widowControl/>
      <w:spacing w:before="120" w:after="120" w:line="360" w:lineRule="auto"/>
      <w:ind w:firstLine="420"/>
      <w:jc w:val="left"/>
    </w:pPr>
    <w:rPr>
      <w:rFonts w:ascii="Arial" w:hAnsi="Arial" w:eastAsia="宋体" w:cs="Times New Roman"/>
      <w:kern w:val="0"/>
      <w:sz w:val="24"/>
      <w:szCs w:val="24"/>
      <w:lang w:val="en-GB"/>
    </w:rPr>
  </w:style>
  <w:style w:type="character" w:customStyle="1" w:styleId="21">
    <w:name w:val="标题 2 Char"/>
    <w:basedOn w:val="13"/>
    <w:link w:val="3"/>
    <w:qFormat/>
    <w:uiPriority w:val="9"/>
    <w:rPr>
      <w:rFonts w:asciiTheme="majorHAnsi" w:hAnsiTheme="majorHAnsi" w:eastAsiaTheme="majorEastAsia" w:cstheme="majorBidi"/>
      <w:b/>
      <w:bCs/>
      <w:sz w:val="32"/>
      <w:szCs w:val="32"/>
    </w:rPr>
  </w:style>
  <w:style w:type="character" w:customStyle="1" w:styleId="22">
    <w:name w:val="标题 3 Char"/>
    <w:basedOn w:val="13"/>
    <w:link w:val="4"/>
    <w:semiHidden/>
    <w:qFormat/>
    <w:uiPriority w:val="9"/>
    <w:rPr>
      <w:b/>
      <w:bCs/>
      <w:sz w:val="32"/>
      <w:szCs w:val="32"/>
    </w:rPr>
  </w:style>
  <w:style w:type="character" w:customStyle="1" w:styleId="23">
    <w:name w:val="批注文字 Char"/>
    <w:basedOn w:val="13"/>
    <w:link w:val="5"/>
    <w:semiHidden/>
    <w:qFormat/>
    <w:uiPriority w:val="99"/>
  </w:style>
  <w:style w:type="character" w:customStyle="1" w:styleId="24">
    <w:name w:val="批注主题 Char"/>
    <w:basedOn w:val="23"/>
    <w:link w:val="10"/>
    <w:semiHidden/>
    <w:qFormat/>
    <w:uiPriority w:val="99"/>
    <w:rPr>
      <w:b/>
      <w:bCs/>
    </w:rPr>
  </w:style>
  <w:style w:type="character" w:customStyle="1" w:styleId="25">
    <w:name w:val="批注框文本 Char"/>
    <w:basedOn w:val="13"/>
    <w:link w:val="7"/>
    <w:semiHidden/>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正文文本缩进 2 Char"/>
    <w:basedOn w:val="13"/>
    <w:link w:val="6"/>
    <w:qFormat/>
    <w:uiPriority w:val="0"/>
    <w:rPr>
      <w:rFonts w:ascii="仿宋_GB2312" w:hAnsi="宋体" w:eastAsia="宋体" w:cs="Times New Roman"/>
      <w:snapToGrid w:val="0"/>
      <w:kern w:val="0"/>
      <w:sz w:val="28"/>
      <w:szCs w:val="24"/>
    </w:rPr>
  </w:style>
  <w:style w:type="character" w:customStyle="1" w:styleId="28">
    <w:name w:val="font11"/>
    <w:basedOn w:val="13"/>
    <w:qFormat/>
    <w:uiPriority w:val="0"/>
    <w:rPr>
      <w:rFonts w:hint="eastAsia" w:ascii="宋体" w:hAnsi="宋体" w:eastAsia="宋体" w:cs="宋体"/>
      <w:color w:val="000000"/>
      <w:sz w:val="24"/>
      <w:szCs w:val="24"/>
      <w:u w:val="none"/>
    </w:rPr>
  </w:style>
  <w:style w:type="character" w:customStyle="1" w:styleId="29">
    <w:name w:val="font41"/>
    <w:basedOn w:val="13"/>
    <w:qFormat/>
    <w:uiPriority w:val="0"/>
    <w:rPr>
      <w:rFonts w:hint="eastAsia" w:ascii="宋体" w:hAnsi="宋体" w:eastAsia="宋体" w:cs="宋体"/>
      <w:color w:val="FF0000"/>
      <w:sz w:val="24"/>
      <w:szCs w:val="24"/>
      <w:u w:val="none"/>
    </w:rPr>
  </w:style>
  <w:style w:type="character" w:customStyle="1" w:styleId="30">
    <w:name w:val="font61"/>
    <w:basedOn w:val="1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6</Pages>
  <Words>4361</Words>
  <Characters>4871</Characters>
  <Lines>1</Lines>
  <Paragraphs>1</Paragraphs>
  <TotalTime>37</TotalTime>
  <ScaleCrop>false</ScaleCrop>
  <LinksUpToDate>false</LinksUpToDate>
  <CharactersWithSpaces>4909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2022-03-02T08:14:00Z</dcterms:created>
  <dc:creator>邵天羽</dc:creator>
  <cp:lastModifiedBy>泰山顶上吹吹风</cp:lastModifiedBy>
  <dcterms:modified xsi:type="dcterms:W3CDTF">2022-05-30T06:51:40Z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45F7CD08ED68435FB3A54CB232BC6760</vt:lpwstr>
  </property>
</Properties>
</file>